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124" w:rsidRDefault="005B1124" w:rsidP="005B1124">
      <w:pPr>
        <w:pStyle w:val="Default"/>
        <w:jc w:val="center"/>
        <w:rPr>
          <w:sz w:val="22"/>
          <w:szCs w:val="22"/>
        </w:rPr>
      </w:pPr>
      <w:r>
        <w:rPr>
          <w:sz w:val="22"/>
          <w:szCs w:val="22"/>
        </w:rPr>
        <w:t>CONVENTION ON THE CONSERVATION OF EUROPEAN WILDLIFE</w:t>
      </w:r>
    </w:p>
    <w:p w:rsidR="005B1124" w:rsidRDefault="005B1124" w:rsidP="005B1124">
      <w:pPr>
        <w:pStyle w:val="Default"/>
        <w:jc w:val="center"/>
        <w:rPr>
          <w:sz w:val="22"/>
          <w:szCs w:val="22"/>
        </w:rPr>
      </w:pPr>
      <w:r>
        <w:rPr>
          <w:sz w:val="22"/>
          <w:szCs w:val="22"/>
        </w:rPr>
        <w:t>AND NATURAL HABITATS</w:t>
      </w:r>
    </w:p>
    <w:p w:rsidR="005B1124" w:rsidRDefault="005B1124" w:rsidP="005B1124">
      <w:pPr>
        <w:pStyle w:val="Default"/>
        <w:jc w:val="center"/>
        <w:rPr>
          <w:sz w:val="23"/>
          <w:szCs w:val="23"/>
        </w:rPr>
      </w:pPr>
      <w:r>
        <w:rPr>
          <w:b/>
          <w:bCs/>
          <w:sz w:val="23"/>
          <w:szCs w:val="23"/>
        </w:rPr>
        <w:t>Standing Committee</w:t>
      </w:r>
    </w:p>
    <w:p w:rsidR="005B1124" w:rsidRDefault="005B1124" w:rsidP="005B1124">
      <w:pPr>
        <w:pStyle w:val="Default"/>
        <w:jc w:val="center"/>
        <w:rPr>
          <w:sz w:val="22"/>
          <w:szCs w:val="22"/>
        </w:rPr>
      </w:pPr>
      <w:r>
        <w:rPr>
          <w:sz w:val="22"/>
          <w:szCs w:val="22"/>
        </w:rPr>
        <w:t>34</w:t>
      </w:r>
      <w:r>
        <w:rPr>
          <w:sz w:val="14"/>
          <w:szCs w:val="14"/>
        </w:rPr>
        <w:t xml:space="preserve">tu </w:t>
      </w:r>
      <w:r>
        <w:rPr>
          <w:sz w:val="22"/>
          <w:szCs w:val="22"/>
        </w:rPr>
        <w:t>meeting</w:t>
      </w:r>
    </w:p>
    <w:p w:rsidR="005B1124" w:rsidRDefault="005B1124" w:rsidP="005B1124">
      <w:pPr>
        <w:pStyle w:val="Default"/>
        <w:jc w:val="center"/>
        <w:rPr>
          <w:sz w:val="22"/>
          <w:szCs w:val="22"/>
        </w:rPr>
      </w:pPr>
      <w:r>
        <w:rPr>
          <w:sz w:val="22"/>
          <w:szCs w:val="22"/>
        </w:rPr>
        <w:t>Strasbourg, 2-5 December 2014</w:t>
      </w:r>
    </w:p>
    <w:p w:rsidR="005B1124" w:rsidRDefault="005B1124" w:rsidP="005B1124">
      <w:pPr>
        <w:pStyle w:val="Default"/>
        <w:jc w:val="center"/>
        <w:rPr>
          <w:sz w:val="23"/>
          <w:szCs w:val="23"/>
        </w:rPr>
      </w:pPr>
      <w:r>
        <w:rPr>
          <w:sz w:val="23"/>
          <w:szCs w:val="23"/>
        </w:rPr>
        <w:t>__________</w:t>
      </w:r>
    </w:p>
    <w:p w:rsidR="005B1124" w:rsidRDefault="005B1124" w:rsidP="005B1124">
      <w:pPr>
        <w:pStyle w:val="Default"/>
        <w:jc w:val="center"/>
        <w:rPr>
          <w:b/>
          <w:bCs/>
          <w:sz w:val="36"/>
          <w:szCs w:val="36"/>
        </w:rPr>
      </w:pPr>
      <w:r>
        <w:rPr>
          <w:b/>
          <w:bCs/>
          <w:sz w:val="36"/>
          <w:szCs w:val="36"/>
        </w:rPr>
        <w:t xml:space="preserve">Follow-up </w:t>
      </w:r>
      <w:bookmarkStart w:id="0" w:name="_GoBack"/>
      <w:bookmarkEnd w:id="0"/>
      <w:r>
        <w:rPr>
          <w:b/>
          <w:bCs/>
          <w:sz w:val="36"/>
          <w:szCs w:val="36"/>
        </w:rPr>
        <w:t>of Recommendation No. 25 (1991) on the conservation of natural areas outside protected areas proper</w:t>
      </w:r>
    </w:p>
    <w:p w:rsidR="005B1124" w:rsidRDefault="005B1124" w:rsidP="005B1124">
      <w:pPr>
        <w:pStyle w:val="Default"/>
        <w:jc w:val="center"/>
        <w:rPr>
          <w:b/>
          <w:bCs/>
          <w:sz w:val="36"/>
          <w:szCs w:val="36"/>
        </w:rPr>
      </w:pPr>
    </w:p>
    <w:p w:rsidR="005B1124" w:rsidRDefault="005B1124" w:rsidP="005B1124">
      <w:pPr>
        <w:pStyle w:val="Default"/>
        <w:jc w:val="center"/>
        <w:rPr>
          <w:sz w:val="36"/>
          <w:szCs w:val="36"/>
        </w:rPr>
      </w:pPr>
    </w:p>
    <w:p w:rsidR="00A26054" w:rsidRPr="00514059" w:rsidRDefault="005B1124" w:rsidP="005B1124">
      <w:pPr>
        <w:jc w:val="center"/>
        <w:rPr>
          <w:b/>
          <w:bCs/>
          <w:sz w:val="40"/>
          <w:szCs w:val="40"/>
        </w:rPr>
      </w:pPr>
      <w:r w:rsidRPr="00514059">
        <w:rPr>
          <w:b/>
          <w:bCs/>
          <w:sz w:val="40"/>
          <w:szCs w:val="40"/>
        </w:rPr>
        <w:t>R</w:t>
      </w:r>
      <w:r w:rsidRPr="00514059">
        <w:rPr>
          <w:b/>
          <w:bCs/>
          <w:sz w:val="32"/>
          <w:szCs w:val="32"/>
        </w:rPr>
        <w:t xml:space="preserve">EPORT BY THE </w:t>
      </w:r>
      <w:r w:rsidRPr="00514059">
        <w:rPr>
          <w:b/>
          <w:bCs/>
          <w:sz w:val="40"/>
          <w:szCs w:val="40"/>
        </w:rPr>
        <w:t>Netherlands</w:t>
      </w:r>
    </w:p>
    <w:p w:rsidR="00AC40D1" w:rsidRPr="00514059" w:rsidRDefault="00AC40D1" w:rsidP="005B1124">
      <w:pPr>
        <w:jc w:val="center"/>
        <w:rPr>
          <w:b/>
          <w:bCs/>
          <w:color w:val="FF0000"/>
          <w:sz w:val="28"/>
          <w:szCs w:val="28"/>
        </w:rPr>
      </w:pPr>
    </w:p>
    <w:p w:rsidR="002B0083" w:rsidRPr="00514059" w:rsidRDefault="002B0083" w:rsidP="005B1124">
      <w:pPr>
        <w:jc w:val="center"/>
        <w:rPr>
          <w:b/>
          <w:bCs/>
          <w:sz w:val="40"/>
          <w:szCs w:val="40"/>
        </w:rPr>
      </w:pPr>
    </w:p>
    <w:p w:rsidR="00AC40D1" w:rsidRPr="00514059" w:rsidRDefault="00AC40D1">
      <w:pPr>
        <w:rPr>
          <w:b/>
          <w:bCs/>
          <w:sz w:val="40"/>
          <w:szCs w:val="40"/>
        </w:rPr>
      </w:pPr>
      <w:r w:rsidRPr="00514059">
        <w:rPr>
          <w:b/>
          <w:bCs/>
          <w:sz w:val="40"/>
          <w:szCs w:val="40"/>
        </w:rPr>
        <w:br w:type="page"/>
      </w:r>
    </w:p>
    <w:p w:rsidR="00B91631" w:rsidRPr="00514059" w:rsidRDefault="00B91631" w:rsidP="00353F13">
      <w:pPr>
        <w:spacing w:after="0"/>
        <w:rPr>
          <w:b/>
        </w:rPr>
      </w:pPr>
      <w:r w:rsidRPr="00514059">
        <w:rPr>
          <w:b/>
        </w:rPr>
        <w:lastRenderedPageBreak/>
        <w:t>Regional planning policy conserving environments and habitats</w:t>
      </w:r>
    </w:p>
    <w:p w:rsidR="00E46EE2" w:rsidRDefault="00252520" w:rsidP="00252520">
      <w:r w:rsidRPr="008F0211">
        <w:t>In the National Policy Strategy for Infrastructure and Spatial Planning (</w:t>
      </w:r>
      <w:r w:rsidR="005F6C7E">
        <w:t>SVIR)</w:t>
      </w:r>
      <w:r w:rsidRPr="008F0211">
        <w:t>, the Dutch government identifies conservation and protection of species as an important national interest</w:t>
      </w:r>
      <w:r w:rsidR="005F6C7E" w:rsidRPr="005F6C7E">
        <w:t xml:space="preserve"> </w:t>
      </w:r>
      <w:r w:rsidR="005F6C7E">
        <w:t>(</w:t>
      </w:r>
      <w:r w:rsidR="005F6C7E" w:rsidRPr="005F6C7E">
        <w:t>I&amp;M 2012)</w:t>
      </w:r>
      <w:r w:rsidRPr="008F0211">
        <w:t xml:space="preserve">. The government continues to develop the National Ecological Network (NEN) as the most important remedy to stop biodiversity loss. </w:t>
      </w:r>
      <w:r w:rsidR="00E46EE2" w:rsidRPr="00E46EE2">
        <w:t>The NEN is a network of protected areas not only of the A and B but also C and D categories</w:t>
      </w:r>
      <w:r w:rsidR="00886962" w:rsidRPr="00886962">
        <w:t xml:space="preserve"> </w:t>
      </w:r>
      <w:r w:rsidR="00886962">
        <w:t xml:space="preserve">(Council of Europe, </w:t>
      </w:r>
      <w:r w:rsidR="00886962" w:rsidRPr="00886962">
        <w:t>1973)</w:t>
      </w:r>
      <w:r w:rsidR="00E46EE2" w:rsidRPr="00E46EE2">
        <w:t>.</w:t>
      </w:r>
      <w:r w:rsidR="00E46EE2">
        <w:t xml:space="preserve"> The</w:t>
      </w:r>
      <w:r w:rsidR="00276F15">
        <w:t xml:space="preserve"> </w:t>
      </w:r>
      <w:r w:rsidR="005F6C7E">
        <w:t>SVIR</w:t>
      </w:r>
      <w:r w:rsidR="00276F15">
        <w:t xml:space="preserve"> </w:t>
      </w:r>
      <w:r w:rsidRPr="008F0211">
        <w:t>gives the NEN a spatial regime called ‘</w:t>
      </w:r>
      <w:r w:rsidR="00472D69" w:rsidRPr="005F6C7E">
        <w:rPr>
          <w:i/>
        </w:rPr>
        <w:t xml:space="preserve">nee, </w:t>
      </w:r>
      <w:proofErr w:type="spellStart"/>
      <w:r w:rsidR="00472D69" w:rsidRPr="005F6C7E">
        <w:rPr>
          <w:i/>
        </w:rPr>
        <w:t>tenzij</w:t>
      </w:r>
      <w:proofErr w:type="spellEnd"/>
      <w:r w:rsidRPr="008F0211">
        <w:t xml:space="preserve">’, </w:t>
      </w:r>
      <w:r w:rsidR="00472D69" w:rsidRPr="00472D69">
        <w:t xml:space="preserve">which </w:t>
      </w:r>
      <w:r w:rsidR="00472D69">
        <w:t>means ‘</w:t>
      </w:r>
      <w:r w:rsidR="00472D69" w:rsidRPr="00472D69">
        <w:t>No development</w:t>
      </w:r>
      <w:r w:rsidR="00472D69">
        <w:t xml:space="preserve"> unless </w:t>
      </w:r>
      <w:r w:rsidR="00472D69" w:rsidRPr="00472D69">
        <w:t>overriding reasons of region</w:t>
      </w:r>
      <w:r w:rsidR="00472D69">
        <w:t>al or national interest prevail’. This regime protects</w:t>
      </w:r>
      <w:r w:rsidRPr="008F0211">
        <w:t xml:space="preserve"> nature within the network against harmful spatial development plans. Regional governments have incorporated the NEN in their spatial </w:t>
      </w:r>
      <w:r w:rsidR="00E46EE2">
        <w:t>regulations.</w:t>
      </w:r>
      <w:r w:rsidRPr="008F0211">
        <w:t xml:space="preserve"> </w:t>
      </w:r>
      <w:r w:rsidR="00E46EE2">
        <w:t xml:space="preserve">All spatial plans need to </w:t>
      </w:r>
      <w:r w:rsidR="002C3F14">
        <w:t>take into account natural values</w:t>
      </w:r>
      <w:r w:rsidR="00E46EE2">
        <w:t xml:space="preserve">, and if there are no alternatives mitigation and compensation measures have to be taken. </w:t>
      </w:r>
      <w:r w:rsidR="004422B0">
        <w:t xml:space="preserve">Agricultural land within the NEN can be </w:t>
      </w:r>
      <w:r w:rsidR="00913D69">
        <w:t>managed using</w:t>
      </w:r>
      <w:r w:rsidR="004422B0">
        <w:t xml:space="preserve"> modern </w:t>
      </w:r>
      <w:r w:rsidR="00913D69">
        <w:t>methods whilst</w:t>
      </w:r>
      <w:r w:rsidR="004422B0">
        <w:t xml:space="preserve"> </w:t>
      </w:r>
      <w:r w:rsidR="00913D69">
        <w:t xml:space="preserve">biodiversity is </w:t>
      </w:r>
      <w:r w:rsidR="004422B0">
        <w:t xml:space="preserve">at the same time </w:t>
      </w:r>
      <w:r w:rsidR="00913D69">
        <w:t xml:space="preserve">protected through the implementation of </w:t>
      </w:r>
      <w:r w:rsidR="004422B0">
        <w:t xml:space="preserve">measures </w:t>
      </w:r>
      <w:r w:rsidR="005F6C7E">
        <w:t>that</w:t>
      </w:r>
      <w:r w:rsidR="002C3F14">
        <w:t xml:space="preserve"> involve an agricultural scheme which offers financial compensation for</w:t>
      </w:r>
      <w:r w:rsidR="004422B0">
        <w:t xml:space="preserve"> </w:t>
      </w:r>
      <w:r w:rsidR="006A4DEA">
        <w:t>loss of production</w:t>
      </w:r>
      <w:r w:rsidR="004422B0">
        <w:t xml:space="preserve">. </w:t>
      </w:r>
      <w:r w:rsidR="002C3F14">
        <w:t xml:space="preserve">Around </w:t>
      </w:r>
      <w:r w:rsidR="00231960">
        <w:t>11</w:t>
      </w:r>
      <w:r w:rsidR="002C3F14">
        <w:t>,</w:t>
      </w:r>
      <w:r w:rsidR="00231960">
        <w:t>500 hectares of the 547</w:t>
      </w:r>
      <w:r w:rsidR="002C3F14">
        <w:t>,</w:t>
      </w:r>
      <w:r w:rsidR="00231960">
        <w:t xml:space="preserve">500 hectares </w:t>
      </w:r>
      <w:r w:rsidR="002C3F14">
        <w:t>covered by the</w:t>
      </w:r>
      <w:r w:rsidR="00231960">
        <w:t xml:space="preserve"> NEN </w:t>
      </w:r>
      <w:r w:rsidR="002C3F14">
        <w:t xml:space="preserve">have specific </w:t>
      </w:r>
      <w:r w:rsidR="006A4DEA">
        <w:t xml:space="preserve">measures </w:t>
      </w:r>
      <w:r w:rsidR="002C3F14">
        <w:t xml:space="preserve">in place </w:t>
      </w:r>
      <w:r w:rsidR="006A4DEA">
        <w:t>to protect biodiversity</w:t>
      </w:r>
      <w:r w:rsidR="002C3F14">
        <w:t xml:space="preserve"> as part of the agricultural scheme</w:t>
      </w:r>
      <w:r w:rsidR="00231960">
        <w:t xml:space="preserve">.  </w:t>
      </w:r>
    </w:p>
    <w:p w:rsidR="00720AA1" w:rsidRDefault="002C3F14" w:rsidP="00252520">
      <w:r>
        <w:t xml:space="preserve">In addition </w:t>
      </w:r>
      <w:r w:rsidR="0076147E">
        <w:t>natural areas outside the NEN and agricultural areas with specific natural values such as meadow birds are protected</w:t>
      </w:r>
      <w:r w:rsidR="00E46EE2">
        <w:t xml:space="preserve"> by spatial regulations</w:t>
      </w:r>
      <w:r w:rsidR="0076147E">
        <w:t>. In the meadow bird areas in Friesland</w:t>
      </w:r>
      <w:r w:rsidR="00197106">
        <w:t>,</w:t>
      </w:r>
      <w:r w:rsidR="0076147E">
        <w:t xml:space="preserve"> for example</w:t>
      </w:r>
      <w:r w:rsidR="00197106">
        <w:t>,</w:t>
      </w:r>
      <w:r w:rsidR="0076147E">
        <w:t xml:space="preserve"> al</w:t>
      </w:r>
      <w:r>
        <w:t>l</w:t>
      </w:r>
      <w:r w:rsidR="0076147E">
        <w:t xml:space="preserve"> spatial plans that cause </w:t>
      </w:r>
      <w:r w:rsidR="0076147E" w:rsidRPr="0076147E">
        <w:t>disturbance</w:t>
      </w:r>
      <w:r w:rsidR="0076147E">
        <w:t xml:space="preserve"> or affect openness of landscape are prohibited</w:t>
      </w:r>
      <w:r w:rsidR="00322E88" w:rsidRPr="00322E88">
        <w:t xml:space="preserve"> </w:t>
      </w:r>
      <w:r w:rsidR="00322E88">
        <w:t>(</w:t>
      </w:r>
      <w:proofErr w:type="spellStart"/>
      <w:r w:rsidR="00322E88">
        <w:t>Fryslân</w:t>
      </w:r>
      <w:proofErr w:type="spellEnd"/>
      <w:r w:rsidR="00322E88">
        <w:t xml:space="preserve">, </w:t>
      </w:r>
      <w:r w:rsidR="00322E88" w:rsidRPr="00322E88">
        <w:t>2014)</w:t>
      </w:r>
      <w:r w:rsidR="00197106">
        <w:t>. W</w:t>
      </w:r>
      <w:r w:rsidR="0076147E">
        <w:t xml:space="preserve">hen </w:t>
      </w:r>
      <w:r>
        <w:t xml:space="preserve">the developments proposed within the </w:t>
      </w:r>
      <w:r w:rsidR="00197106">
        <w:t xml:space="preserve">spatial plans are </w:t>
      </w:r>
      <w:r w:rsidR="00197106" w:rsidRPr="004C5EF6">
        <w:t xml:space="preserve">considered more important than the present natural values, the </w:t>
      </w:r>
      <w:r>
        <w:t xml:space="preserve">natural </w:t>
      </w:r>
      <w:r w:rsidR="00197106" w:rsidRPr="004C5EF6">
        <w:t>values lost have to be compensated.</w:t>
      </w:r>
      <w:r w:rsidR="00EF5810">
        <w:t xml:space="preserve"> </w:t>
      </w:r>
    </w:p>
    <w:p w:rsidR="00940AB3" w:rsidRDefault="00940AB3" w:rsidP="00252520"/>
    <w:p w:rsidR="00720AA1" w:rsidRPr="004C5EF6" w:rsidRDefault="00720AA1" w:rsidP="00720AA1">
      <w:pPr>
        <w:spacing w:after="0"/>
        <w:rPr>
          <w:b/>
        </w:rPr>
      </w:pPr>
      <w:r w:rsidRPr="004C5EF6">
        <w:rPr>
          <w:b/>
        </w:rPr>
        <w:t>Regional planning conserving landscape values</w:t>
      </w:r>
    </w:p>
    <w:p w:rsidR="00720AA1" w:rsidRDefault="00720AA1" w:rsidP="00720AA1">
      <w:r w:rsidRPr="004C5EF6">
        <w:t xml:space="preserve">Characteristic landscape (and cultural historic) values are part of regional planning policy. These values are protected </w:t>
      </w:r>
      <w:r>
        <w:t xml:space="preserve">in the provincial spatial regulations </w:t>
      </w:r>
      <w:r w:rsidRPr="004C5EF6">
        <w:t>by a spatial regime called</w:t>
      </w:r>
      <w:r w:rsidR="00472D69">
        <w:t xml:space="preserve"> ‘</w:t>
      </w:r>
      <w:proofErr w:type="spellStart"/>
      <w:r w:rsidR="00472D69" w:rsidRPr="005F6C7E">
        <w:rPr>
          <w:i/>
        </w:rPr>
        <w:t>ja</w:t>
      </w:r>
      <w:proofErr w:type="spellEnd"/>
      <w:r w:rsidR="00472D69" w:rsidRPr="005F6C7E">
        <w:rPr>
          <w:i/>
        </w:rPr>
        <w:t xml:space="preserve">, </w:t>
      </w:r>
      <w:proofErr w:type="spellStart"/>
      <w:r w:rsidR="00472D69" w:rsidRPr="005F6C7E">
        <w:rPr>
          <w:i/>
        </w:rPr>
        <w:t>mits</w:t>
      </w:r>
      <w:proofErr w:type="spellEnd"/>
      <w:r w:rsidR="00472D69">
        <w:t>’,</w:t>
      </w:r>
      <w:r w:rsidRPr="004C5EF6">
        <w:t xml:space="preserve"> </w:t>
      </w:r>
      <w:r w:rsidR="00472D69">
        <w:t xml:space="preserve">which means ‘Yes development can take place, on condition that </w:t>
      </w:r>
      <w:r w:rsidR="00472D69" w:rsidRPr="00472D69">
        <w:t>landscape values are recognised and losses to these values are kept to a minimum</w:t>
      </w:r>
      <w:r w:rsidR="00472D69">
        <w:t>.</w:t>
      </w:r>
      <w:r w:rsidR="00472D69" w:rsidRPr="00472D69">
        <w:t xml:space="preserve"> </w:t>
      </w:r>
      <w:r w:rsidR="00472D69">
        <w:t xml:space="preserve">Hence, </w:t>
      </w:r>
      <w:r w:rsidRPr="004C5EF6">
        <w:t xml:space="preserve">spatial plans have to take </w:t>
      </w:r>
      <w:r w:rsidR="00872B12" w:rsidRPr="004C5EF6">
        <w:t>into account</w:t>
      </w:r>
      <w:r w:rsidR="00872B12">
        <w:t xml:space="preserve"> </w:t>
      </w:r>
      <w:r w:rsidRPr="004C5EF6">
        <w:t xml:space="preserve">landscape values </w:t>
      </w:r>
      <w:r>
        <w:t xml:space="preserve">and these values should </w:t>
      </w:r>
      <w:r w:rsidR="00872B12">
        <w:t xml:space="preserve">as far </w:t>
      </w:r>
      <w:r>
        <w:t>as possible</w:t>
      </w:r>
      <w:r w:rsidR="00872B12">
        <w:t xml:space="preserve"> be integrated into any development that takes place</w:t>
      </w:r>
      <w:r w:rsidRPr="004C5EF6">
        <w:t>.</w:t>
      </w:r>
      <w:r>
        <w:t xml:space="preserve"> </w:t>
      </w:r>
      <w:r w:rsidRPr="00432611">
        <w:t xml:space="preserve">The provincial government has made maps of these characteristic landscape values </w:t>
      </w:r>
      <w:r w:rsidR="00872B12">
        <w:t>in order that they can be more easily included in decision making</w:t>
      </w:r>
      <w:r w:rsidRPr="00432611">
        <w:t>.</w:t>
      </w:r>
      <w:r>
        <w:t xml:space="preserve"> Municipalities are obliged to make a </w:t>
      </w:r>
      <w:r w:rsidRPr="004C5EF6">
        <w:t>thorough</w:t>
      </w:r>
      <w:r>
        <w:t xml:space="preserve"> assessment and </w:t>
      </w:r>
      <w:r w:rsidRPr="004C5EF6">
        <w:t>deliberation</w:t>
      </w:r>
      <w:r>
        <w:t xml:space="preserve"> considering these values when making their spatial development plans. </w:t>
      </w:r>
    </w:p>
    <w:p w:rsidR="00720AA1" w:rsidRDefault="00720AA1" w:rsidP="00252520">
      <w:r w:rsidRPr="00A1230C">
        <w:t>Since 2012, the twenty National Landscapes in the Netherlands are no</w:t>
      </w:r>
      <w:r>
        <w:t xml:space="preserve"> longer part of national policy,</w:t>
      </w:r>
      <w:r w:rsidRPr="00A1230C">
        <w:t xml:space="preserve"> but provinces </w:t>
      </w:r>
      <w:r>
        <w:t xml:space="preserve">are free </w:t>
      </w:r>
      <w:r w:rsidRPr="00A1230C">
        <w:t xml:space="preserve">to continue this former policy </w:t>
      </w:r>
      <w:r>
        <w:t xml:space="preserve">on their own </w:t>
      </w:r>
      <w:r w:rsidRPr="00A1230C">
        <w:t>(I&amp;M, 2012). Some provinces continue with</w:t>
      </w:r>
      <w:r>
        <w:t xml:space="preserve"> the identity of National Landscapes, others protect only their landscape values such as openness, historic landscape elements, ditch patterns etc. Some of the National Landscape</w:t>
      </w:r>
      <w:r w:rsidR="00872B12">
        <w:t>s</w:t>
      </w:r>
      <w:r>
        <w:t xml:space="preserve"> </w:t>
      </w:r>
      <w:r w:rsidR="00872B12">
        <w:t xml:space="preserve">have become </w:t>
      </w:r>
      <w:r>
        <w:t xml:space="preserve">part of </w:t>
      </w:r>
      <w:r w:rsidR="00872B12">
        <w:t xml:space="preserve">the </w:t>
      </w:r>
      <w:r>
        <w:t xml:space="preserve">regional identity of </w:t>
      </w:r>
      <w:r w:rsidR="00872B12">
        <w:t xml:space="preserve">their </w:t>
      </w:r>
      <w:r>
        <w:t>inhabitants and the</w:t>
      </w:r>
      <w:r w:rsidR="00872B12">
        <w:t>ir</w:t>
      </w:r>
      <w:r>
        <w:t xml:space="preserve"> name</w:t>
      </w:r>
      <w:r w:rsidR="00872B12">
        <w:t>s are</w:t>
      </w:r>
      <w:r>
        <w:t xml:space="preserve"> used for marketing purposes</w:t>
      </w:r>
      <w:r w:rsidR="00872B12">
        <w:t xml:space="preserve"> in order to attract tourists and inward investment (e.g. </w:t>
      </w:r>
      <w:proofErr w:type="spellStart"/>
      <w:r w:rsidR="00D84FE0" w:rsidRPr="00D84FE0">
        <w:t>Noordelijk</w:t>
      </w:r>
      <w:proofErr w:type="spellEnd"/>
      <w:r w:rsidR="00D84FE0" w:rsidRPr="00D84FE0">
        <w:t xml:space="preserve"> </w:t>
      </w:r>
      <w:proofErr w:type="spellStart"/>
      <w:r w:rsidR="00D84FE0" w:rsidRPr="00D84FE0">
        <w:t>Friese</w:t>
      </w:r>
      <w:proofErr w:type="spellEnd"/>
      <w:r w:rsidR="00D84FE0" w:rsidRPr="00D84FE0">
        <w:t xml:space="preserve"> </w:t>
      </w:r>
      <w:proofErr w:type="spellStart"/>
      <w:r w:rsidR="00D84FE0" w:rsidRPr="00D84FE0">
        <w:t>Wouden</w:t>
      </w:r>
      <w:proofErr w:type="spellEnd"/>
      <w:r w:rsidR="00872B12">
        <w:t>)</w:t>
      </w:r>
      <w:r>
        <w:t>.</w:t>
      </w:r>
    </w:p>
    <w:p w:rsidR="00940AB3" w:rsidRDefault="00940AB3" w:rsidP="00252520"/>
    <w:p w:rsidR="00720AA1" w:rsidRPr="00720AA1" w:rsidRDefault="00720AA1" w:rsidP="00720AA1">
      <w:pPr>
        <w:spacing w:after="0"/>
        <w:rPr>
          <w:b/>
        </w:rPr>
      </w:pPr>
      <w:proofErr w:type="spellStart"/>
      <w:r w:rsidRPr="00720AA1">
        <w:rPr>
          <w:b/>
        </w:rPr>
        <w:t>Agri</w:t>
      </w:r>
      <w:proofErr w:type="spellEnd"/>
      <w:r w:rsidRPr="00720AA1">
        <w:rPr>
          <w:b/>
        </w:rPr>
        <w:t>-environmental schemes</w:t>
      </w:r>
    </w:p>
    <w:p w:rsidR="00EF5810" w:rsidRDefault="00872B12" w:rsidP="00BF1F8B">
      <w:pPr>
        <w:spacing w:after="0"/>
      </w:pPr>
      <w:r>
        <w:t>Measures are taken to protect natural values on around</w:t>
      </w:r>
      <w:r w:rsidR="00EF5810">
        <w:t xml:space="preserve"> 60.000 hectares </w:t>
      </w:r>
      <w:r>
        <w:t xml:space="preserve">of </w:t>
      </w:r>
      <w:r w:rsidR="006A4DEA">
        <w:t xml:space="preserve">agricultural land </w:t>
      </w:r>
      <w:r w:rsidR="00BF1F8B">
        <w:t>(figure 1)</w:t>
      </w:r>
      <w:r w:rsidR="006A4DEA">
        <w:t xml:space="preserve">; mostly nesting and rearing places for meadow birds such as Black-tailed Godwit </w:t>
      </w:r>
      <w:r w:rsidR="00C72157" w:rsidRPr="001E6B7B">
        <w:rPr>
          <w:szCs w:val="17"/>
        </w:rPr>
        <w:t>(</w:t>
      </w:r>
      <w:proofErr w:type="spellStart"/>
      <w:r w:rsidR="00C72157" w:rsidRPr="001E6B7B">
        <w:rPr>
          <w:rFonts w:cs="Arial"/>
          <w:i/>
          <w:color w:val="222222"/>
          <w:szCs w:val="17"/>
          <w:shd w:val="clear" w:color="auto" w:fill="FFFFFF"/>
        </w:rPr>
        <w:t>Limosa</w:t>
      </w:r>
      <w:proofErr w:type="spellEnd"/>
      <w:r w:rsidR="00C72157" w:rsidRPr="001E6B7B">
        <w:rPr>
          <w:rFonts w:cs="Arial"/>
          <w:i/>
          <w:color w:val="222222"/>
          <w:szCs w:val="17"/>
          <w:shd w:val="clear" w:color="auto" w:fill="FFFFFF"/>
        </w:rPr>
        <w:t xml:space="preserve"> </w:t>
      </w:r>
      <w:proofErr w:type="spellStart"/>
      <w:r w:rsidR="00C72157" w:rsidRPr="001E6B7B">
        <w:rPr>
          <w:rFonts w:cs="Arial"/>
          <w:i/>
          <w:color w:val="222222"/>
          <w:szCs w:val="17"/>
          <w:shd w:val="clear" w:color="auto" w:fill="FFFFFF"/>
        </w:rPr>
        <w:t>limosa</w:t>
      </w:r>
      <w:proofErr w:type="spellEnd"/>
      <w:r w:rsidR="00C72157" w:rsidRPr="001E6B7B">
        <w:rPr>
          <w:rFonts w:cs="Arial"/>
          <w:color w:val="222222"/>
          <w:szCs w:val="17"/>
          <w:shd w:val="clear" w:color="auto" w:fill="FFFFFF"/>
        </w:rPr>
        <w:t>)</w:t>
      </w:r>
      <w:r w:rsidR="00C72157">
        <w:t xml:space="preserve"> </w:t>
      </w:r>
      <w:r w:rsidR="006A4DEA">
        <w:t>and Lapwing</w:t>
      </w:r>
      <w:r w:rsidR="00C72157">
        <w:t xml:space="preserve"> (</w:t>
      </w:r>
      <w:proofErr w:type="spellStart"/>
      <w:r w:rsidR="00C72157" w:rsidRPr="001E6B7B">
        <w:rPr>
          <w:i/>
        </w:rPr>
        <w:t>Vanellus</w:t>
      </w:r>
      <w:proofErr w:type="spellEnd"/>
      <w:r w:rsidR="00C72157" w:rsidRPr="001E6B7B">
        <w:rPr>
          <w:i/>
        </w:rPr>
        <w:t xml:space="preserve"> </w:t>
      </w:r>
      <w:proofErr w:type="spellStart"/>
      <w:r w:rsidR="00C72157" w:rsidRPr="001E6B7B">
        <w:rPr>
          <w:i/>
        </w:rPr>
        <w:t>vanellus</w:t>
      </w:r>
      <w:proofErr w:type="spellEnd"/>
      <w:r w:rsidR="00C72157">
        <w:t>)</w:t>
      </w:r>
      <w:r w:rsidR="006A4DEA">
        <w:t xml:space="preserve">. </w:t>
      </w:r>
      <w:r w:rsidR="00C80EE6">
        <w:t>D</w:t>
      </w:r>
      <w:r w:rsidR="00C80EE6" w:rsidRPr="00C80EE6">
        <w:t>espite</w:t>
      </w:r>
      <w:r w:rsidR="00C80EE6">
        <w:t xml:space="preserve"> measures taken, the population of</w:t>
      </w:r>
      <w:r w:rsidR="00720AA1">
        <w:t xml:space="preserve"> farmland </w:t>
      </w:r>
      <w:r w:rsidR="00C80EE6">
        <w:t xml:space="preserve">birds </w:t>
      </w:r>
      <w:r w:rsidR="00720AA1">
        <w:t xml:space="preserve">is </w:t>
      </w:r>
      <w:r w:rsidR="00720AA1" w:rsidRPr="00720AA1">
        <w:t>declining</w:t>
      </w:r>
      <w:r w:rsidR="00720AA1">
        <w:t xml:space="preserve">. </w:t>
      </w:r>
      <w:r w:rsidR="00720AA1" w:rsidRPr="00720AA1">
        <w:t>The "farmland bird indicator" has d</w:t>
      </w:r>
      <w:r w:rsidR="005F6C7E">
        <w:t xml:space="preserve">eclined by 15% </w:t>
      </w:r>
      <w:r w:rsidR="00720AA1" w:rsidRPr="00720AA1">
        <w:t>since 2000</w:t>
      </w:r>
      <w:r w:rsidR="00BF1F8B">
        <w:t xml:space="preserve"> (figure 2)</w:t>
      </w:r>
      <w:r w:rsidR="00720AA1" w:rsidRPr="00720AA1">
        <w:t>. This indicator is the national version of the "Farmland Bird Indicator" (FBI) of the European Union.</w:t>
      </w:r>
    </w:p>
    <w:p w:rsidR="00BF1F8B" w:rsidRDefault="00BF1F8B" w:rsidP="00BF1F8B">
      <w:pPr>
        <w:spacing w:after="0"/>
      </w:pPr>
    </w:p>
    <w:p w:rsidR="00940AB3" w:rsidRDefault="00940AB3">
      <w:pPr>
        <w:rPr>
          <w:i/>
          <w:sz w:val="16"/>
          <w:szCs w:val="16"/>
        </w:rPr>
      </w:pPr>
      <w:r>
        <w:rPr>
          <w:i/>
          <w:sz w:val="16"/>
          <w:szCs w:val="16"/>
        </w:rPr>
        <w:br w:type="page"/>
      </w:r>
    </w:p>
    <w:p w:rsidR="00940AB3" w:rsidRDefault="00940AB3" w:rsidP="00BF1F8B">
      <w:pPr>
        <w:spacing w:after="0"/>
        <w:rPr>
          <w:i/>
          <w:sz w:val="16"/>
          <w:szCs w:val="16"/>
        </w:rPr>
      </w:pPr>
      <w:r>
        <w:rPr>
          <w:noProof/>
          <w:lang w:eastAsia="en-GB"/>
        </w:rPr>
        <w:lastRenderedPageBreak/>
        <w:drawing>
          <wp:inline distT="0" distB="0" distL="0" distR="0" wp14:anchorId="71412707" wp14:editId="6B832682">
            <wp:extent cx="3526972" cy="2351315"/>
            <wp:effectExtent l="0" t="0" r="0" b="0"/>
            <wp:docPr id="10" name="Picture 10" descr="Area covered by agri-environment sche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ea covered by agri-environment schem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37034" cy="2358023"/>
                    </a:xfrm>
                    <a:prstGeom prst="rect">
                      <a:avLst/>
                    </a:prstGeom>
                    <a:noFill/>
                    <a:ln>
                      <a:noFill/>
                    </a:ln>
                  </pic:spPr>
                </pic:pic>
              </a:graphicData>
            </a:graphic>
          </wp:inline>
        </w:drawing>
      </w:r>
    </w:p>
    <w:p w:rsidR="00940AB3" w:rsidRDefault="00940AB3" w:rsidP="00BF1F8B">
      <w:pPr>
        <w:spacing w:after="0"/>
        <w:rPr>
          <w:i/>
          <w:sz w:val="16"/>
          <w:szCs w:val="16"/>
        </w:rPr>
      </w:pPr>
      <w:r w:rsidRPr="00940AB3">
        <w:rPr>
          <w:i/>
          <w:sz w:val="16"/>
          <w:szCs w:val="16"/>
        </w:rPr>
        <w:t xml:space="preserve">Figure 1. The trend in area covered by </w:t>
      </w:r>
      <w:proofErr w:type="spellStart"/>
      <w:r w:rsidRPr="00940AB3">
        <w:rPr>
          <w:i/>
          <w:sz w:val="16"/>
          <w:szCs w:val="16"/>
        </w:rPr>
        <w:t>agri</w:t>
      </w:r>
      <w:proofErr w:type="spellEnd"/>
      <w:r w:rsidRPr="00940AB3">
        <w:rPr>
          <w:i/>
          <w:sz w:val="16"/>
          <w:szCs w:val="16"/>
        </w:rPr>
        <w:t>-environmental schemes per Province (CBS et al., 2014a).</w:t>
      </w:r>
    </w:p>
    <w:p w:rsidR="00940AB3" w:rsidRPr="00D37D31" w:rsidRDefault="00940AB3" w:rsidP="00BF1F8B">
      <w:pPr>
        <w:spacing w:after="0"/>
        <w:rPr>
          <w:i/>
          <w:sz w:val="16"/>
          <w:szCs w:val="16"/>
        </w:rPr>
      </w:pPr>
    </w:p>
    <w:p w:rsidR="00EF5810" w:rsidRDefault="00C80EE6" w:rsidP="00252520">
      <w:r>
        <w:rPr>
          <w:noProof/>
          <w:lang w:eastAsia="en-GB"/>
        </w:rPr>
        <w:drawing>
          <wp:inline distT="0" distB="0" distL="0" distR="0" wp14:anchorId="1BA9295B" wp14:editId="43A44C18">
            <wp:extent cx="3526972" cy="2343978"/>
            <wp:effectExtent l="0" t="0" r="0" b="0"/>
            <wp:docPr id="11" name="Picture 11" descr="Farmland bi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rmland bird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35627" cy="2349730"/>
                    </a:xfrm>
                    <a:prstGeom prst="rect">
                      <a:avLst/>
                    </a:prstGeom>
                    <a:noFill/>
                    <a:ln>
                      <a:noFill/>
                    </a:ln>
                  </pic:spPr>
                </pic:pic>
              </a:graphicData>
            </a:graphic>
          </wp:inline>
        </w:drawing>
      </w:r>
    </w:p>
    <w:p w:rsidR="00940AB3" w:rsidRPr="00D37D31" w:rsidRDefault="00940AB3" w:rsidP="00940AB3">
      <w:pPr>
        <w:spacing w:after="0"/>
        <w:rPr>
          <w:i/>
          <w:sz w:val="16"/>
          <w:szCs w:val="16"/>
        </w:rPr>
      </w:pPr>
      <w:r w:rsidRPr="00D37D31">
        <w:rPr>
          <w:i/>
          <w:sz w:val="16"/>
          <w:szCs w:val="16"/>
        </w:rPr>
        <w:t>Figure 2. The population trend of 27 farmland bird species</w:t>
      </w:r>
      <w:r>
        <w:rPr>
          <w:i/>
          <w:sz w:val="16"/>
          <w:szCs w:val="16"/>
        </w:rPr>
        <w:t xml:space="preserve"> </w:t>
      </w:r>
      <w:r w:rsidRPr="00F12155">
        <w:rPr>
          <w:i/>
          <w:sz w:val="16"/>
          <w:szCs w:val="16"/>
        </w:rPr>
        <w:t>(CBS et al., 2014</w:t>
      </w:r>
      <w:r>
        <w:rPr>
          <w:i/>
          <w:sz w:val="16"/>
          <w:szCs w:val="16"/>
        </w:rPr>
        <w:t>b</w:t>
      </w:r>
      <w:r w:rsidRPr="00F12155">
        <w:rPr>
          <w:i/>
          <w:sz w:val="16"/>
          <w:szCs w:val="16"/>
        </w:rPr>
        <w:t>)</w:t>
      </w:r>
      <w:r w:rsidRPr="00D37D31">
        <w:rPr>
          <w:i/>
          <w:sz w:val="16"/>
          <w:szCs w:val="16"/>
        </w:rPr>
        <w:t>.</w:t>
      </w:r>
    </w:p>
    <w:p w:rsidR="00940AB3" w:rsidRDefault="00940AB3" w:rsidP="001E6B7B">
      <w:pPr>
        <w:rPr>
          <w:b/>
        </w:rPr>
      </w:pPr>
    </w:p>
    <w:p w:rsidR="00490732" w:rsidRDefault="00490732" w:rsidP="00940AB3">
      <w:pPr>
        <w:spacing w:after="0"/>
        <w:rPr>
          <w:b/>
        </w:rPr>
      </w:pPr>
      <w:r>
        <w:rPr>
          <w:b/>
        </w:rPr>
        <w:t>Nature development</w:t>
      </w:r>
      <w:r w:rsidR="00EC3687">
        <w:rPr>
          <w:b/>
        </w:rPr>
        <w:t>;</w:t>
      </w:r>
      <w:r>
        <w:rPr>
          <w:b/>
        </w:rPr>
        <w:t xml:space="preserve"> </w:t>
      </w:r>
      <w:r w:rsidR="00EC3687">
        <w:rPr>
          <w:b/>
        </w:rPr>
        <w:t>enlargement and natural corridors</w:t>
      </w:r>
    </w:p>
    <w:p w:rsidR="00490732" w:rsidRDefault="00490732" w:rsidP="00940AB3">
      <w:pPr>
        <w:spacing w:after="0"/>
      </w:pPr>
      <w:r w:rsidRPr="00490732">
        <w:t>Natural habitat is restored on agricultural land</w:t>
      </w:r>
      <w:r>
        <w:t xml:space="preserve"> by replacing the nutrient rich top soil, restoring natural landscape </w:t>
      </w:r>
      <w:r w:rsidR="004A6A2C">
        <w:t>relief</w:t>
      </w:r>
      <w:r w:rsidR="00DD1EED">
        <w:t>, changing the water table</w:t>
      </w:r>
      <w:r w:rsidR="00C72157">
        <w:t>,</w:t>
      </w:r>
      <w:r w:rsidR="00DD1EED">
        <w:t xml:space="preserve"> etc.</w:t>
      </w:r>
      <w:r>
        <w:t xml:space="preserve"> </w:t>
      </w:r>
      <w:r w:rsidR="00BF1F8B">
        <w:t>In 2013 almost 70</w:t>
      </w:r>
      <w:r w:rsidR="00C72157">
        <w:t>,</w:t>
      </w:r>
      <w:r w:rsidR="00BF1F8B">
        <w:t xml:space="preserve">000 hectare </w:t>
      </w:r>
      <w:r w:rsidR="00C72157">
        <w:t xml:space="preserve">of </w:t>
      </w:r>
      <w:r w:rsidR="00BF1F8B">
        <w:t xml:space="preserve">new nature </w:t>
      </w:r>
      <w:r w:rsidR="00C72157">
        <w:t xml:space="preserve">was </w:t>
      </w:r>
      <w:r w:rsidR="00BF1F8B">
        <w:t xml:space="preserve">developed on agricultural land (figure 3). </w:t>
      </w:r>
      <w:r w:rsidR="00DD1EED">
        <w:t xml:space="preserve">These new nature reserves enlarge </w:t>
      </w:r>
      <w:r w:rsidR="004A6A2C">
        <w:t>existing</w:t>
      </w:r>
      <w:r w:rsidR="00EF5810">
        <w:t xml:space="preserve"> reserves </w:t>
      </w:r>
      <w:r w:rsidR="00EF5810" w:rsidRPr="00EF5810">
        <w:t xml:space="preserve">and </w:t>
      </w:r>
      <w:r w:rsidR="00EF5810">
        <w:t>realize</w:t>
      </w:r>
      <w:r w:rsidR="00EF5810" w:rsidRPr="00EF5810">
        <w:t xml:space="preserve"> natural corridors linking natural areas.</w:t>
      </w:r>
      <w:r w:rsidR="00DD1EED">
        <w:t xml:space="preserve"> </w:t>
      </w:r>
      <w:r w:rsidR="00C36DC8">
        <w:t>The</w:t>
      </w:r>
      <w:r w:rsidR="00EF5810">
        <w:t xml:space="preserve"> agreed</w:t>
      </w:r>
      <w:r w:rsidR="00C36DC8">
        <w:t xml:space="preserve"> target</w:t>
      </w:r>
      <w:r w:rsidR="00EF5810">
        <w:t xml:space="preserve"> is to develop</w:t>
      </w:r>
      <w:r w:rsidR="00DD1EED" w:rsidRPr="00DD1EED">
        <w:t xml:space="preserve"> at least 80,000 ha of </w:t>
      </w:r>
      <w:r w:rsidR="00EF5810">
        <w:t xml:space="preserve">new </w:t>
      </w:r>
      <w:r w:rsidR="00DD1EED" w:rsidRPr="00DD1EED">
        <w:t xml:space="preserve">natural areas </w:t>
      </w:r>
      <w:r w:rsidR="00EF5810">
        <w:t>between 2011 and</w:t>
      </w:r>
      <w:r w:rsidR="00DD1EED" w:rsidRPr="00DD1EED">
        <w:t xml:space="preserve"> 2027</w:t>
      </w:r>
      <w:r w:rsidR="00EF5810">
        <w:t xml:space="preserve"> (</w:t>
      </w:r>
      <w:r w:rsidR="00EB03B1">
        <w:t>EL&amp;I, 2013</w:t>
      </w:r>
      <w:r w:rsidR="00EF5810">
        <w:t>)</w:t>
      </w:r>
      <w:r w:rsidR="00DD1EED" w:rsidRPr="00DD1EED">
        <w:t>.</w:t>
      </w:r>
    </w:p>
    <w:p w:rsidR="00720AA1" w:rsidRDefault="00720AA1" w:rsidP="00432611">
      <w:pPr>
        <w:spacing w:after="0"/>
      </w:pPr>
    </w:p>
    <w:p w:rsidR="00490732" w:rsidRDefault="004A6A2C" w:rsidP="00432611">
      <w:pPr>
        <w:spacing w:after="0"/>
        <w:rPr>
          <w:b/>
        </w:rPr>
      </w:pPr>
      <w:r>
        <w:rPr>
          <w:b/>
          <w:noProof/>
          <w:lang w:eastAsia="en-GB"/>
        </w:rPr>
        <w:drawing>
          <wp:inline distT="0" distB="0" distL="0" distR="0" wp14:anchorId="11080BDD" wp14:editId="7CBBDA46">
            <wp:extent cx="2824843" cy="2033626"/>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04-22-15 at 11.54 AM.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32774" cy="2039336"/>
                    </a:xfrm>
                    <a:prstGeom prst="rect">
                      <a:avLst/>
                    </a:prstGeom>
                  </pic:spPr>
                </pic:pic>
              </a:graphicData>
            </a:graphic>
          </wp:inline>
        </w:drawing>
      </w:r>
    </w:p>
    <w:p w:rsidR="00940AB3" w:rsidRPr="00D37D31" w:rsidRDefault="00940AB3" w:rsidP="00940AB3">
      <w:pPr>
        <w:spacing w:after="0"/>
        <w:rPr>
          <w:i/>
          <w:sz w:val="16"/>
          <w:szCs w:val="16"/>
        </w:rPr>
      </w:pPr>
      <w:r w:rsidRPr="00D37D31">
        <w:rPr>
          <w:i/>
          <w:sz w:val="16"/>
          <w:szCs w:val="16"/>
        </w:rPr>
        <w:t>Figure 3. Trend in area of nature development</w:t>
      </w:r>
      <w:r>
        <w:rPr>
          <w:i/>
          <w:sz w:val="16"/>
          <w:szCs w:val="16"/>
        </w:rPr>
        <w:t xml:space="preserve"> (TK 30</w:t>
      </w:r>
      <w:r w:rsidRPr="006F6188">
        <w:rPr>
          <w:i/>
          <w:sz w:val="16"/>
          <w:szCs w:val="16"/>
        </w:rPr>
        <w:t>825, nr. 214</w:t>
      </w:r>
      <w:r w:rsidRPr="00C01615">
        <w:rPr>
          <w:i/>
          <w:sz w:val="16"/>
          <w:szCs w:val="16"/>
        </w:rPr>
        <w:t>)</w:t>
      </w:r>
      <w:r w:rsidRPr="00D37D31">
        <w:rPr>
          <w:i/>
          <w:sz w:val="16"/>
          <w:szCs w:val="16"/>
        </w:rPr>
        <w:t>.</w:t>
      </w:r>
    </w:p>
    <w:p w:rsidR="00940AB3" w:rsidRDefault="00940AB3">
      <w:pPr>
        <w:rPr>
          <w:b/>
        </w:rPr>
      </w:pPr>
    </w:p>
    <w:p w:rsidR="008F0211" w:rsidRPr="00A1230C" w:rsidRDefault="008F0211" w:rsidP="00353F13">
      <w:pPr>
        <w:spacing w:after="0"/>
        <w:rPr>
          <w:b/>
        </w:rPr>
      </w:pPr>
      <w:r w:rsidRPr="00A1230C">
        <w:rPr>
          <w:b/>
        </w:rPr>
        <w:t>Legislation</w:t>
      </w:r>
      <w:r w:rsidR="00490732">
        <w:rPr>
          <w:b/>
        </w:rPr>
        <w:t xml:space="preserve"> to conserve wildlife breeding, nesting and feeding places</w:t>
      </w:r>
    </w:p>
    <w:p w:rsidR="00D00557" w:rsidRDefault="008F0211" w:rsidP="00D00557">
      <w:r w:rsidRPr="008F0211">
        <w:t xml:space="preserve">The main laws for nature </w:t>
      </w:r>
      <w:r>
        <w:t xml:space="preserve">conservation in the Netherlands are the 1998 Nature </w:t>
      </w:r>
      <w:r w:rsidRPr="008F0211">
        <w:t>Conservation Act (‘</w:t>
      </w:r>
      <w:proofErr w:type="spellStart"/>
      <w:r>
        <w:t>Natuurbeschermingswet</w:t>
      </w:r>
      <w:proofErr w:type="spellEnd"/>
      <w:r>
        <w:t xml:space="preserve">’) and the </w:t>
      </w:r>
      <w:r w:rsidRPr="008F0211">
        <w:t>Flora and Fauna Act (‘Flo</w:t>
      </w:r>
      <w:r>
        <w:t>ra</w:t>
      </w:r>
      <w:r w:rsidR="00073B28">
        <w:t xml:space="preserve">- en </w:t>
      </w:r>
      <w:proofErr w:type="spellStart"/>
      <w:r w:rsidR="00073B28">
        <w:t>fauna</w:t>
      </w:r>
      <w:r>
        <w:t>wet</w:t>
      </w:r>
      <w:proofErr w:type="spellEnd"/>
      <w:r>
        <w:t xml:space="preserve">’). Both are the </w:t>
      </w:r>
      <w:r w:rsidRPr="008F0211">
        <w:t xml:space="preserve">Dutch interpretation of </w:t>
      </w:r>
      <w:r>
        <w:t xml:space="preserve">the European Birds and Habitats </w:t>
      </w:r>
      <w:r w:rsidRPr="008F0211">
        <w:t>Directives. The Nature Conservation A</w:t>
      </w:r>
      <w:r w:rsidR="00D00557">
        <w:t xml:space="preserve">ct provides for the designation </w:t>
      </w:r>
      <w:r w:rsidRPr="008F0211">
        <w:t>of nature areas of natio</w:t>
      </w:r>
      <w:r w:rsidR="00D00557">
        <w:t xml:space="preserve">nal or international importance </w:t>
      </w:r>
      <w:r w:rsidRPr="008F0211">
        <w:t xml:space="preserve">(Natura 2000 sites). </w:t>
      </w:r>
      <w:r w:rsidR="00D00557">
        <w:t xml:space="preserve">The Dutch Flora and Fauna Act protects not only </w:t>
      </w:r>
      <w:r w:rsidR="00C36DC8">
        <w:t xml:space="preserve">around </w:t>
      </w:r>
      <w:r w:rsidR="00D00557">
        <w:t>500 plant and animal species but also the area they live in:</w:t>
      </w:r>
      <w:r w:rsidR="00D00557" w:rsidRPr="00D00557">
        <w:t xml:space="preserve"> their nesting, rest</w:t>
      </w:r>
      <w:r w:rsidR="00651632">
        <w:t>ing</w:t>
      </w:r>
      <w:r w:rsidR="00D00557" w:rsidRPr="00D00557">
        <w:t xml:space="preserve"> or feeding places</w:t>
      </w:r>
      <w:r w:rsidR="00D00557">
        <w:t xml:space="preserve">. These places are </w:t>
      </w:r>
      <w:r w:rsidR="00C36DC8">
        <w:t xml:space="preserve">also </w:t>
      </w:r>
      <w:r w:rsidR="00D00557">
        <w:t xml:space="preserve">protected outside the protected areas. </w:t>
      </w:r>
      <w:r w:rsidR="004630CA">
        <w:t xml:space="preserve">Many of the species with most derogations have their habitat outside the protected areas (see table). </w:t>
      </w:r>
      <w:r w:rsidR="00D00557">
        <w:t>When there is no alternative for activities that destroy these nesting, resting and feeding places</w:t>
      </w:r>
      <w:r w:rsidR="00E144E7">
        <w:t>, mitigation and</w:t>
      </w:r>
      <w:r w:rsidR="00D00557">
        <w:t xml:space="preserve"> compensation measures might be in order before dispensation is given.</w:t>
      </w:r>
    </w:p>
    <w:p w:rsidR="006E4779" w:rsidRPr="00D37D31" w:rsidRDefault="006E4779" w:rsidP="008F0A1F">
      <w:pPr>
        <w:spacing w:after="0"/>
        <w:rPr>
          <w:i/>
          <w:sz w:val="16"/>
          <w:szCs w:val="16"/>
        </w:rPr>
      </w:pPr>
      <w:r w:rsidRPr="00D37D31">
        <w:rPr>
          <w:i/>
          <w:sz w:val="16"/>
          <w:szCs w:val="16"/>
        </w:rPr>
        <w:t>Table 1. Top ten species with most derogations requests in 2009 and 2010</w:t>
      </w:r>
      <w:r w:rsidR="00923F37">
        <w:rPr>
          <w:i/>
          <w:sz w:val="16"/>
          <w:szCs w:val="16"/>
        </w:rPr>
        <w:t xml:space="preserve"> (Veen et al., 2011)</w:t>
      </w:r>
      <w:r w:rsidRPr="00D37D31">
        <w:rPr>
          <w:i/>
          <w:sz w:val="16"/>
          <w:szCs w:val="16"/>
        </w:rPr>
        <w:t>.</w:t>
      </w:r>
    </w:p>
    <w:p w:rsidR="004630CA" w:rsidRPr="004630CA" w:rsidRDefault="006E4779">
      <w:r w:rsidRPr="006E4779">
        <w:rPr>
          <w:noProof/>
          <w:lang w:eastAsia="en-GB"/>
        </w:rPr>
        <w:drawing>
          <wp:inline distT="0" distB="0" distL="0" distR="0" wp14:anchorId="4DB1AA16" wp14:editId="33D6F52B">
            <wp:extent cx="4506686" cy="1821248"/>
            <wp:effectExtent l="0" t="0" r="825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13154" cy="1823862"/>
                    </a:xfrm>
                    <a:prstGeom prst="rect">
                      <a:avLst/>
                    </a:prstGeom>
                    <a:noFill/>
                    <a:ln>
                      <a:noFill/>
                    </a:ln>
                  </pic:spPr>
                </pic:pic>
              </a:graphicData>
            </a:graphic>
          </wp:inline>
        </w:drawing>
      </w:r>
    </w:p>
    <w:p w:rsidR="003945F4" w:rsidRDefault="004630CA">
      <w:r>
        <w:t xml:space="preserve">Many organisations, such as </w:t>
      </w:r>
      <w:r w:rsidRPr="00B45762">
        <w:t>municipalities</w:t>
      </w:r>
      <w:r>
        <w:t>,</w:t>
      </w:r>
      <w:r w:rsidRPr="00B45762">
        <w:t xml:space="preserve"> </w:t>
      </w:r>
      <w:r>
        <w:t>water a</w:t>
      </w:r>
      <w:r w:rsidRPr="00B45762">
        <w:t>uthorities</w:t>
      </w:r>
      <w:r>
        <w:t>, nature management, seaports</w:t>
      </w:r>
      <w:r w:rsidR="00C36DC8">
        <w:t>,</w:t>
      </w:r>
      <w:r>
        <w:t xml:space="preserve"> etc.</w:t>
      </w:r>
      <w:r w:rsidRPr="00B45762">
        <w:t xml:space="preserve"> </w:t>
      </w:r>
      <w:r>
        <w:t xml:space="preserve">work with a code of conduct. This code states how to prevent or minimize damage to protected plants and animals and their </w:t>
      </w:r>
      <w:r w:rsidRPr="00E144E7">
        <w:t xml:space="preserve">nesting, resting and feeding places </w:t>
      </w:r>
      <w:r>
        <w:t xml:space="preserve">during the course of recurring management work. Sectors, organizations or trade associations may draw up </w:t>
      </w:r>
      <w:r w:rsidR="00C36DC8">
        <w:t xml:space="preserve">their own </w:t>
      </w:r>
      <w:r>
        <w:t>code</w:t>
      </w:r>
      <w:r w:rsidR="00C36DC8">
        <w:t>s</w:t>
      </w:r>
      <w:r>
        <w:t xml:space="preserve"> of conduct, which must then be approved by the Minister of Economic Affairs (EZ). </w:t>
      </w:r>
    </w:p>
    <w:p w:rsidR="00300268" w:rsidRPr="00B91631" w:rsidRDefault="00720AA1" w:rsidP="0037126C">
      <w:pPr>
        <w:spacing w:after="0"/>
        <w:rPr>
          <w:b/>
        </w:rPr>
      </w:pPr>
      <w:r>
        <w:rPr>
          <w:b/>
        </w:rPr>
        <w:t xml:space="preserve">Water bodies and the </w:t>
      </w:r>
      <w:r w:rsidR="0037126C" w:rsidRPr="0037126C">
        <w:rPr>
          <w:b/>
        </w:rPr>
        <w:t>European Water Framework Directive</w:t>
      </w:r>
      <w:r w:rsidR="00490732">
        <w:rPr>
          <w:b/>
        </w:rPr>
        <w:t xml:space="preserve"> </w:t>
      </w:r>
    </w:p>
    <w:p w:rsidR="0037126C" w:rsidRDefault="004A17EC" w:rsidP="00D37D31">
      <w:pPr>
        <w:spacing w:after="0"/>
      </w:pPr>
      <w:r>
        <w:t xml:space="preserve">The European Water Framework Directive (WFD) is </w:t>
      </w:r>
      <w:r w:rsidR="00C36DC8">
        <w:t>a</w:t>
      </w:r>
      <w:r>
        <w:t xml:space="preserve"> European law which obliges all Member States to have good water quality in all their major water systems by the year 2027. </w:t>
      </w:r>
      <w:r w:rsidR="0037126C">
        <w:t>Measure</w:t>
      </w:r>
      <w:r w:rsidR="00C36DC8">
        <w:t>s</w:t>
      </w:r>
      <w:r w:rsidR="0037126C">
        <w:t xml:space="preserve"> are taken by t</w:t>
      </w:r>
      <w:r w:rsidR="0037126C" w:rsidRPr="0037126C">
        <w:t>he</w:t>
      </w:r>
      <w:r w:rsidR="001E6B7B">
        <w:t xml:space="preserve"> </w:t>
      </w:r>
      <w:r w:rsidR="0037126C" w:rsidRPr="0037126C">
        <w:t>Dutch Ministry of Infrastructure and the Environment (</w:t>
      </w:r>
      <w:proofErr w:type="spellStart"/>
      <w:r w:rsidR="0037126C">
        <w:t>Rijkswaterstaat</w:t>
      </w:r>
      <w:proofErr w:type="spellEnd"/>
      <w:r w:rsidR="0037126C">
        <w:t>), Water Boards</w:t>
      </w:r>
      <w:r w:rsidR="00C36DC8">
        <w:t>,</w:t>
      </w:r>
      <w:r w:rsidR="0037126C">
        <w:t xml:space="preserve"> etc. to improve biological</w:t>
      </w:r>
      <w:r w:rsidR="008E11D8">
        <w:t xml:space="preserve"> (figure 4)</w:t>
      </w:r>
      <w:r w:rsidR="0037126C">
        <w:t xml:space="preserve">, physical and chemical quality </w:t>
      </w:r>
      <w:r w:rsidR="008E11D8">
        <w:t xml:space="preserve">(figure 5) </w:t>
      </w:r>
      <w:r w:rsidR="0037126C">
        <w:t xml:space="preserve">of all major water bodies inside and outside </w:t>
      </w:r>
      <w:r w:rsidR="00414EA3">
        <w:t>protected nature areas. Measure</w:t>
      </w:r>
      <w:r w:rsidR="00C36DC8">
        <w:t>s</w:t>
      </w:r>
      <w:r w:rsidR="00414EA3">
        <w:t xml:space="preserve"> are for example to ban </w:t>
      </w:r>
      <w:r w:rsidR="00414EA3" w:rsidRPr="00414EA3">
        <w:t>dispos</w:t>
      </w:r>
      <w:r w:rsidR="00414EA3">
        <w:t>al</w:t>
      </w:r>
      <w:r w:rsidR="00414EA3" w:rsidRPr="00414EA3">
        <w:t xml:space="preserve"> </w:t>
      </w:r>
      <w:r w:rsidR="00414EA3">
        <w:t xml:space="preserve">of waste water and to </w:t>
      </w:r>
      <w:r w:rsidR="0037126C" w:rsidRPr="0037126C">
        <w:t>establish nature-friendly banks of canals, rivers and ditches</w:t>
      </w:r>
      <w:r w:rsidR="00414EA3">
        <w:t>.</w:t>
      </w:r>
    </w:p>
    <w:p w:rsidR="00D37D31" w:rsidRDefault="00940AB3" w:rsidP="00D37D31">
      <w:pPr>
        <w:spacing w:after="0"/>
      </w:pPr>
      <w:r>
        <w:rPr>
          <w:noProof/>
          <w:lang w:eastAsia="en-GB"/>
        </w:rPr>
        <w:drawing>
          <wp:inline distT="0" distB="0" distL="0" distR="0" wp14:anchorId="267363AD" wp14:editId="33C3B31F">
            <wp:extent cx="2973445" cy="257816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47_002k_adhoc.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73445" cy="2578166"/>
                    </a:xfrm>
                    <a:prstGeom prst="rect">
                      <a:avLst/>
                    </a:prstGeom>
                  </pic:spPr>
                </pic:pic>
              </a:graphicData>
            </a:graphic>
          </wp:inline>
        </w:drawing>
      </w:r>
    </w:p>
    <w:p w:rsidR="00D37D31" w:rsidRPr="00F12155" w:rsidRDefault="008F0A1F" w:rsidP="00D37D31">
      <w:pPr>
        <w:spacing w:after="0"/>
        <w:rPr>
          <w:i/>
          <w:sz w:val="16"/>
          <w:szCs w:val="16"/>
        </w:rPr>
      </w:pPr>
      <w:r w:rsidRPr="00D37D31">
        <w:rPr>
          <w:i/>
          <w:sz w:val="16"/>
          <w:szCs w:val="16"/>
        </w:rPr>
        <w:t xml:space="preserve">Figure 4. The biological quality of waterbodies </w:t>
      </w:r>
      <w:r w:rsidR="00D37D31" w:rsidRPr="00D37D31">
        <w:rPr>
          <w:i/>
          <w:sz w:val="16"/>
          <w:szCs w:val="16"/>
        </w:rPr>
        <w:t>based on criteria of the Water Framework Directive</w:t>
      </w:r>
      <w:r w:rsidR="00F12155">
        <w:rPr>
          <w:i/>
          <w:sz w:val="16"/>
          <w:szCs w:val="16"/>
        </w:rPr>
        <w:t xml:space="preserve"> </w:t>
      </w:r>
      <w:r w:rsidR="00F12155" w:rsidRPr="00F12155">
        <w:rPr>
          <w:i/>
          <w:sz w:val="16"/>
          <w:szCs w:val="16"/>
        </w:rPr>
        <w:t>(CBS et al., 2014</w:t>
      </w:r>
      <w:r w:rsidR="00F12155">
        <w:rPr>
          <w:i/>
          <w:sz w:val="16"/>
          <w:szCs w:val="16"/>
        </w:rPr>
        <w:t>c</w:t>
      </w:r>
      <w:r w:rsidR="00F12155" w:rsidRPr="00F12155">
        <w:rPr>
          <w:i/>
          <w:sz w:val="16"/>
          <w:szCs w:val="16"/>
        </w:rPr>
        <w:t>).</w:t>
      </w:r>
    </w:p>
    <w:p w:rsidR="00940AB3" w:rsidRDefault="00514059" w:rsidP="00940AB3">
      <w:r>
        <w:rPr>
          <w:noProof/>
          <w:lang w:eastAsia="en-GB"/>
        </w:rPr>
        <w:lastRenderedPageBreak/>
        <w:drawing>
          <wp:inline distT="0" distB="0" distL="0" distR="0" wp14:anchorId="6467038D" wp14:editId="5F002ADD">
            <wp:extent cx="3039229" cy="2635206"/>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47_001k_adhoc.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40622" cy="2636413"/>
                    </a:xfrm>
                    <a:prstGeom prst="rect">
                      <a:avLst/>
                    </a:prstGeom>
                  </pic:spPr>
                </pic:pic>
              </a:graphicData>
            </a:graphic>
          </wp:inline>
        </w:drawing>
      </w:r>
    </w:p>
    <w:p w:rsidR="00940AB3" w:rsidRPr="00940AB3" w:rsidRDefault="00940AB3" w:rsidP="00940AB3">
      <w:r w:rsidRPr="00D37D31">
        <w:rPr>
          <w:i/>
          <w:sz w:val="16"/>
          <w:szCs w:val="16"/>
        </w:rPr>
        <w:t>Figure 5. The physical and chemical quality of waterbodies based on criteria of the Water Framework Directive</w:t>
      </w:r>
      <w:r>
        <w:rPr>
          <w:i/>
          <w:sz w:val="16"/>
          <w:szCs w:val="16"/>
        </w:rPr>
        <w:t xml:space="preserve"> (CBS et al., 2014d</w:t>
      </w:r>
      <w:r w:rsidRPr="00F12155">
        <w:rPr>
          <w:i/>
          <w:sz w:val="16"/>
          <w:szCs w:val="16"/>
        </w:rPr>
        <w:t>).</w:t>
      </w:r>
    </w:p>
    <w:p w:rsidR="00940AB3" w:rsidRDefault="00940AB3" w:rsidP="0037126C">
      <w:pPr>
        <w:spacing w:after="0"/>
        <w:rPr>
          <w:b/>
        </w:rPr>
      </w:pPr>
    </w:p>
    <w:p w:rsidR="00940AB3" w:rsidRDefault="00940AB3" w:rsidP="0037126C">
      <w:pPr>
        <w:spacing w:after="0"/>
        <w:rPr>
          <w:b/>
        </w:rPr>
      </w:pPr>
    </w:p>
    <w:p w:rsidR="0037126C" w:rsidRPr="0037126C" w:rsidRDefault="0037126C" w:rsidP="0037126C">
      <w:pPr>
        <w:spacing w:after="0"/>
        <w:rPr>
          <w:b/>
        </w:rPr>
      </w:pPr>
      <w:r w:rsidRPr="0037126C">
        <w:rPr>
          <w:b/>
        </w:rPr>
        <w:t>Fish migration</w:t>
      </w:r>
    </w:p>
    <w:p w:rsidR="00345B0E" w:rsidRDefault="0037126C" w:rsidP="00345B0E">
      <w:r>
        <w:t>Healthy f</w:t>
      </w:r>
      <w:r w:rsidR="00B57C69">
        <w:t>ish populations are an indicator for</w:t>
      </w:r>
      <w:r w:rsidR="00345B0E" w:rsidRPr="00345B0E">
        <w:t xml:space="preserve"> </w:t>
      </w:r>
      <w:r w:rsidR="00C36DC8">
        <w:t xml:space="preserve">the </w:t>
      </w:r>
      <w:r w:rsidR="00B57C69">
        <w:t xml:space="preserve">ecological functioning of </w:t>
      </w:r>
      <w:r w:rsidR="00345B0E" w:rsidRPr="00345B0E">
        <w:t>our rivers, canals, ditches</w:t>
      </w:r>
      <w:r w:rsidR="00B57C69">
        <w:t xml:space="preserve"> and other waters. All </w:t>
      </w:r>
      <w:r w:rsidR="00345B0E" w:rsidRPr="00345B0E">
        <w:t xml:space="preserve">fish </w:t>
      </w:r>
      <w:r w:rsidR="00B57C69">
        <w:t>should</w:t>
      </w:r>
      <w:r w:rsidR="00345B0E" w:rsidRPr="00345B0E">
        <w:t xml:space="preserve"> be able to migrate </w:t>
      </w:r>
      <w:r w:rsidR="00B57C69">
        <w:t xml:space="preserve">between their </w:t>
      </w:r>
      <w:r w:rsidR="00345B0E" w:rsidRPr="00345B0E">
        <w:t>habitat</w:t>
      </w:r>
      <w:r>
        <w:t xml:space="preserve"> and spawning areas. </w:t>
      </w:r>
      <w:r w:rsidR="00345B0E" w:rsidRPr="00345B0E">
        <w:t xml:space="preserve">However, </w:t>
      </w:r>
      <w:r w:rsidR="00B57C69">
        <w:t>many</w:t>
      </w:r>
      <w:r w:rsidR="00345B0E" w:rsidRPr="00345B0E">
        <w:t xml:space="preserve"> weir</w:t>
      </w:r>
      <w:r w:rsidR="00B57C69">
        <w:t>s</w:t>
      </w:r>
      <w:r w:rsidR="004A17EC">
        <w:t>,</w:t>
      </w:r>
      <w:r w:rsidR="00345B0E" w:rsidRPr="00345B0E">
        <w:t xml:space="preserve"> lock</w:t>
      </w:r>
      <w:r w:rsidR="00B57C69">
        <w:t xml:space="preserve">s </w:t>
      </w:r>
      <w:r w:rsidR="004A17EC">
        <w:t xml:space="preserve">and water pump stations </w:t>
      </w:r>
      <w:r w:rsidR="00B57C69">
        <w:t xml:space="preserve">are an obstacle for migration and may </w:t>
      </w:r>
      <w:r w:rsidR="00345B0E" w:rsidRPr="00345B0E">
        <w:t xml:space="preserve">significantly damage </w:t>
      </w:r>
      <w:r w:rsidR="00B57C69">
        <w:t>fish</w:t>
      </w:r>
      <w:r w:rsidR="00345B0E" w:rsidRPr="00345B0E">
        <w:t xml:space="preserve"> populations. </w:t>
      </w:r>
      <w:r w:rsidR="00B57C69">
        <w:t>The Dutch Ministry of Infrastructure and the Environment (</w:t>
      </w:r>
      <w:proofErr w:type="spellStart"/>
      <w:r w:rsidR="00B57C69">
        <w:t>Rijkswaterstaat</w:t>
      </w:r>
      <w:proofErr w:type="spellEnd"/>
      <w:r w:rsidR="00B57C69">
        <w:t>), Water Boards, Provinces, Municipalities and other regional partners are working together to lift b</w:t>
      </w:r>
      <w:r w:rsidR="00345B0E" w:rsidRPr="00345B0E">
        <w:t xml:space="preserve">arriers for fish migration </w:t>
      </w:r>
      <w:r w:rsidR="008E11D8">
        <w:t xml:space="preserve">(figure 6) </w:t>
      </w:r>
      <w:r w:rsidR="00B57C69">
        <w:t>and o</w:t>
      </w:r>
      <w:r w:rsidR="00345B0E" w:rsidRPr="00345B0E">
        <w:t xml:space="preserve">ur waterway </w:t>
      </w:r>
      <w:r w:rsidR="00B57C69">
        <w:t xml:space="preserve">network </w:t>
      </w:r>
      <w:r w:rsidR="00C36DC8">
        <w:t xml:space="preserve">is becoming </w:t>
      </w:r>
      <w:r w:rsidR="00345B0E" w:rsidRPr="00345B0E">
        <w:t>more and more reconnected</w:t>
      </w:r>
      <w:r w:rsidR="008E11D8">
        <w:t xml:space="preserve"> (figure 7)</w:t>
      </w:r>
      <w:r w:rsidR="00345B0E" w:rsidRPr="00345B0E">
        <w:t>.</w:t>
      </w:r>
    </w:p>
    <w:p w:rsidR="00940AB3" w:rsidRDefault="00940AB3" w:rsidP="008E11D8">
      <w:pPr>
        <w:spacing w:after="0"/>
        <w:rPr>
          <w:i/>
          <w:sz w:val="16"/>
          <w:szCs w:val="16"/>
        </w:rPr>
      </w:pPr>
      <w:r>
        <w:rPr>
          <w:noProof/>
          <w:lang w:eastAsia="en-GB"/>
        </w:rPr>
        <w:drawing>
          <wp:inline distT="0" distB="0" distL="0" distR="0" wp14:anchorId="2F20DB2F" wp14:editId="1A8558B8">
            <wp:extent cx="3039229" cy="2639079"/>
            <wp:effectExtent l="0" t="0" r="8890" b="8890"/>
            <wp:docPr id="7" name="Picture 7" descr="Accessibility for f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ccessibility for fish"/>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1741" cy="2641260"/>
                    </a:xfrm>
                    <a:prstGeom prst="rect">
                      <a:avLst/>
                    </a:prstGeom>
                    <a:noFill/>
                    <a:ln>
                      <a:noFill/>
                    </a:ln>
                  </pic:spPr>
                </pic:pic>
              </a:graphicData>
            </a:graphic>
          </wp:inline>
        </w:drawing>
      </w:r>
    </w:p>
    <w:p w:rsidR="008E11D8" w:rsidRDefault="008E11D8" w:rsidP="008E11D8">
      <w:pPr>
        <w:spacing w:after="0"/>
      </w:pPr>
      <w:r w:rsidRPr="00D37D31">
        <w:rPr>
          <w:i/>
          <w:sz w:val="16"/>
          <w:szCs w:val="16"/>
        </w:rPr>
        <w:t xml:space="preserve">Figure </w:t>
      </w:r>
      <w:r>
        <w:rPr>
          <w:i/>
          <w:sz w:val="16"/>
          <w:szCs w:val="16"/>
        </w:rPr>
        <w:t>7</w:t>
      </w:r>
      <w:r w:rsidRPr="00D37D31">
        <w:rPr>
          <w:i/>
          <w:sz w:val="16"/>
          <w:szCs w:val="16"/>
        </w:rPr>
        <w:t xml:space="preserve">. </w:t>
      </w:r>
      <w:r>
        <w:rPr>
          <w:i/>
          <w:sz w:val="16"/>
          <w:szCs w:val="16"/>
        </w:rPr>
        <w:t xml:space="preserve">Locations where barriers for fish migration are </w:t>
      </w:r>
      <w:r w:rsidRPr="008E11D8">
        <w:rPr>
          <w:i/>
          <w:sz w:val="16"/>
          <w:szCs w:val="16"/>
        </w:rPr>
        <w:t>eliminate</w:t>
      </w:r>
      <w:r>
        <w:rPr>
          <w:i/>
          <w:sz w:val="16"/>
          <w:szCs w:val="16"/>
        </w:rPr>
        <w:t>d by constructing fish passages</w:t>
      </w:r>
      <w:r w:rsidR="00F12155">
        <w:rPr>
          <w:i/>
          <w:sz w:val="16"/>
          <w:szCs w:val="16"/>
        </w:rPr>
        <w:t xml:space="preserve"> </w:t>
      </w:r>
      <w:r w:rsidR="00F12155" w:rsidRPr="00F12155">
        <w:rPr>
          <w:i/>
          <w:sz w:val="16"/>
          <w:szCs w:val="16"/>
        </w:rPr>
        <w:t>(CBS et al., 2014</w:t>
      </w:r>
      <w:r w:rsidR="00F12155">
        <w:rPr>
          <w:i/>
          <w:sz w:val="16"/>
          <w:szCs w:val="16"/>
        </w:rPr>
        <w:t>e</w:t>
      </w:r>
      <w:r w:rsidR="00F12155" w:rsidRPr="00F12155">
        <w:rPr>
          <w:i/>
          <w:sz w:val="16"/>
          <w:szCs w:val="16"/>
        </w:rPr>
        <w:t>).</w:t>
      </w:r>
    </w:p>
    <w:p w:rsidR="00940AB3" w:rsidRDefault="00940AB3">
      <w:pPr>
        <w:rPr>
          <w:i/>
          <w:sz w:val="16"/>
          <w:szCs w:val="16"/>
        </w:rPr>
      </w:pPr>
      <w:r>
        <w:rPr>
          <w:i/>
          <w:sz w:val="16"/>
          <w:szCs w:val="16"/>
        </w:rPr>
        <w:br w:type="page"/>
      </w:r>
    </w:p>
    <w:p w:rsidR="00940AB3" w:rsidRDefault="00940AB3" w:rsidP="008E11D8">
      <w:pPr>
        <w:spacing w:after="0"/>
        <w:rPr>
          <w:i/>
          <w:sz w:val="16"/>
          <w:szCs w:val="16"/>
        </w:rPr>
      </w:pPr>
      <w:r>
        <w:rPr>
          <w:noProof/>
          <w:lang w:eastAsia="en-GB"/>
        </w:rPr>
        <w:lastRenderedPageBreak/>
        <w:drawing>
          <wp:inline distT="0" distB="0" distL="0" distR="0" wp14:anchorId="37119E75" wp14:editId="39F8ACEB">
            <wp:extent cx="3197111" cy="2776176"/>
            <wp:effectExtent l="0" t="0" r="3810" b="5715"/>
            <wp:docPr id="8" name="Picture 8" descr="Accessibility for f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cessibility for fish"/>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97905" cy="2776865"/>
                    </a:xfrm>
                    <a:prstGeom prst="rect">
                      <a:avLst/>
                    </a:prstGeom>
                    <a:noFill/>
                    <a:ln>
                      <a:noFill/>
                    </a:ln>
                  </pic:spPr>
                </pic:pic>
              </a:graphicData>
            </a:graphic>
          </wp:inline>
        </w:drawing>
      </w:r>
    </w:p>
    <w:p w:rsidR="008E11D8" w:rsidRDefault="008E11D8" w:rsidP="0039160F">
      <w:pPr>
        <w:spacing w:after="0"/>
        <w:rPr>
          <w:i/>
          <w:sz w:val="16"/>
          <w:szCs w:val="16"/>
        </w:rPr>
      </w:pPr>
      <w:r w:rsidRPr="008E11D8">
        <w:rPr>
          <w:i/>
          <w:sz w:val="16"/>
          <w:szCs w:val="16"/>
        </w:rPr>
        <w:t>Figure 6. Accessibility of waterbodies for fish migration in 2013</w:t>
      </w:r>
      <w:r w:rsidR="00F12155">
        <w:rPr>
          <w:i/>
          <w:sz w:val="16"/>
          <w:szCs w:val="16"/>
        </w:rPr>
        <w:t xml:space="preserve"> </w:t>
      </w:r>
      <w:r w:rsidR="00F12155" w:rsidRPr="00F12155">
        <w:rPr>
          <w:i/>
          <w:sz w:val="16"/>
          <w:szCs w:val="16"/>
        </w:rPr>
        <w:t>(CBS et al., 2014</w:t>
      </w:r>
      <w:r w:rsidR="00F12155">
        <w:rPr>
          <w:i/>
          <w:sz w:val="16"/>
          <w:szCs w:val="16"/>
        </w:rPr>
        <w:t>e</w:t>
      </w:r>
      <w:r w:rsidR="00F12155" w:rsidRPr="00F12155">
        <w:rPr>
          <w:i/>
          <w:sz w:val="16"/>
          <w:szCs w:val="16"/>
        </w:rPr>
        <w:t>).</w:t>
      </w:r>
    </w:p>
    <w:p w:rsidR="0039160F" w:rsidRPr="0039160F" w:rsidRDefault="0039160F" w:rsidP="0039160F">
      <w:pPr>
        <w:spacing w:after="0"/>
        <w:rPr>
          <w:i/>
          <w:sz w:val="16"/>
          <w:szCs w:val="16"/>
        </w:rPr>
      </w:pPr>
    </w:p>
    <w:p w:rsidR="00AC40D1" w:rsidRPr="00B407EE" w:rsidRDefault="00940AB3" w:rsidP="00B407EE">
      <w:pPr>
        <w:spacing w:after="0"/>
        <w:rPr>
          <w:b/>
        </w:rPr>
      </w:pPr>
      <w:r w:rsidRPr="00B407EE">
        <w:rPr>
          <w:b/>
        </w:rPr>
        <w:t xml:space="preserve"> </w:t>
      </w:r>
      <w:r w:rsidR="00B407EE" w:rsidRPr="00B407EE">
        <w:rPr>
          <w:b/>
        </w:rPr>
        <w:t>‘Room for the River’</w:t>
      </w:r>
    </w:p>
    <w:p w:rsidR="00940AB3" w:rsidRDefault="006644C2" w:rsidP="00B407EE">
      <w:r>
        <w:t>The</w:t>
      </w:r>
      <w:r w:rsidRPr="006644C2">
        <w:t xml:space="preserve"> Dutch Ministry of Infrastructure and the Environment </w:t>
      </w:r>
      <w:r>
        <w:t xml:space="preserve">and the Ministry of Economic Affairs </w:t>
      </w:r>
      <w:r w:rsidRPr="006644C2">
        <w:t>agreed to work together to increase public safety and nature development in the river region (TK 25017, nr. 29).  The agreement consist</w:t>
      </w:r>
      <w:r w:rsidR="00C36DC8">
        <w:t>s</w:t>
      </w:r>
      <w:r w:rsidRPr="006644C2">
        <w:t xml:space="preserve"> of several programmes and one of them resulted in the</w:t>
      </w:r>
      <w:r w:rsidR="00472D69" w:rsidRPr="00472D69">
        <w:t xml:space="preserve"> National Spatial Planning Key Decision </w:t>
      </w:r>
      <w:r w:rsidR="00472D69">
        <w:t>(</w:t>
      </w:r>
      <w:r w:rsidRPr="006644C2">
        <w:t>PKB</w:t>
      </w:r>
      <w:r w:rsidR="00472D69">
        <w:t>)</w:t>
      </w:r>
      <w:r w:rsidRPr="006644C2">
        <w:t xml:space="preserve"> </w:t>
      </w:r>
      <w:r>
        <w:t>‘</w:t>
      </w:r>
      <w:r w:rsidRPr="006644C2">
        <w:t>Room for the River</w:t>
      </w:r>
      <w:r>
        <w:t>’</w:t>
      </w:r>
      <w:r w:rsidR="001E6B7B">
        <w:t xml:space="preserve"> (TK 30080, nr. 23)</w:t>
      </w:r>
      <w:r>
        <w:t xml:space="preserve">. </w:t>
      </w:r>
      <w:r w:rsidR="00B407EE" w:rsidRPr="00B407EE">
        <w:t xml:space="preserve">Flood protection is a very high priority in water management. In 1993 and 1995 the Dutch rivers swelled to unprecedented levels. </w:t>
      </w:r>
      <w:r w:rsidR="00C36DC8">
        <w:t>T</w:t>
      </w:r>
      <w:r w:rsidR="00B407EE" w:rsidRPr="00B407EE">
        <w:t xml:space="preserve">he Dutch government </w:t>
      </w:r>
      <w:r w:rsidR="00C36DC8">
        <w:t xml:space="preserve">therefore </w:t>
      </w:r>
      <w:r w:rsidR="00B407EE" w:rsidRPr="00B407EE">
        <w:t>took measures</w:t>
      </w:r>
      <w:r w:rsidR="00B407EE">
        <w:t xml:space="preserve">, such as dike relocation, lowering of floodplains, </w:t>
      </w:r>
      <w:r w:rsidR="00C36DC8">
        <w:t xml:space="preserve">creation of </w:t>
      </w:r>
      <w:r w:rsidR="00B407EE">
        <w:t>water storage areas</w:t>
      </w:r>
      <w:r w:rsidR="00B407EE" w:rsidRPr="00B407EE">
        <w:t xml:space="preserve"> to protect the rivers region against flooding. </w:t>
      </w:r>
      <w:r w:rsidR="00B407EE">
        <w:t xml:space="preserve">The maximum discharge capacity should increase from 15,000 m3/sec to </w:t>
      </w:r>
      <w:r w:rsidR="00B407EE" w:rsidRPr="00B407EE">
        <w:t>16,000 m3/sec</w:t>
      </w:r>
      <w:r w:rsidR="00B407EE">
        <w:t xml:space="preserve"> on completion in 2015. </w:t>
      </w:r>
      <w:r w:rsidRPr="006644C2">
        <w:t xml:space="preserve">Protection against flooding and nature development resulted in 4021 hectares (NURG 1-1-2014) </w:t>
      </w:r>
      <w:r w:rsidR="00156618">
        <w:t xml:space="preserve">of </w:t>
      </w:r>
      <w:r w:rsidRPr="006644C2">
        <w:t>new nature in the floodplain</w:t>
      </w:r>
      <w:r>
        <w:t xml:space="preserve"> (Groot project EHS)</w:t>
      </w:r>
      <w:r w:rsidRPr="006644C2">
        <w:t>.</w:t>
      </w:r>
    </w:p>
    <w:p w:rsidR="00557F55" w:rsidRPr="00557F55" w:rsidRDefault="00557F55" w:rsidP="00720AA1">
      <w:pPr>
        <w:spacing w:after="0"/>
        <w:rPr>
          <w:b/>
        </w:rPr>
      </w:pPr>
      <w:r w:rsidRPr="00557F55">
        <w:rPr>
          <w:b/>
        </w:rPr>
        <w:t>Barriers and fragmentation in the Dut</w:t>
      </w:r>
      <w:r>
        <w:rPr>
          <w:b/>
        </w:rPr>
        <w:t>ch National Ecological Network.</w:t>
      </w:r>
    </w:p>
    <w:p w:rsidR="004A17EC" w:rsidRDefault="00156618" w:rsidP="00720AA1">
      <w:pPr>
        <w:spacing w:after="0"/>
      </w:pPr>
      <w:r>
        <w:t>The multi-year defragmentation programme (</w:t>
      </w:r>
      <w:proofErr w:type="spellStart"/>
      <w:r>
        <w:t>Meerjarenprogramma</w:t>
      </w:r>
      <w:proofErr w:type="spellEnd"/>
      <w:r>
        <w:t xml:space="preserve"> </w:t>
      </w:r>
      <w:proofErr w:type="spellStart"/>
      <w:r>
        <w:t>Ontsnippering</w:t>
      </w:r>
      <w:proofErr w:type="spellEnd"/>
      <w:r>
        <w:t xml:space="preserve"> or MJPO) has identified 215 obstacles caused by national infrastructure. The target of the programme is to eliminate these obstacles by 2018 at the latest. Efforts to eliminate them involve measures like green bridges, wildlife underpasses, eco-culverts, wildlife overpasses at tree crown level and hop-overs. Thus, by </w:t>
      </w:r>
      <w:r w:rsidR="00557F55">
        <w:t>1 January 2013, about 32% of the 215 obstacles in the Dutch National Ecological Network caused by national infrastructure had been completely eliminated</w:t>
      </w:r>
      <w:r w:rsidR="008E11D8">
        <w:t xml:space="preserve"> (figure 8)</w:t>
      </w:r>
      <w:r w:rsidR="00557F55">
        <w:t>, while 26% had been partially eliminated.</w:t>
      </w:r>
      <w:r w:rsidR="00557F55" w:rsidRPr="00557F55">
        <w:t xml:space="preserve"> </w:t>
      </w:r>
    </w:p>
    <w:p w:rsidR="00156618" w:rsidRDefault="00156618" w:rsidP="00720AA1">
      <w:pPr>
        <w:spacing w:after="0"/>
      </w:pPr>
    </w:p>
    <w:p w:rsidR="0039160F" w:rsidRDefault="0039160F" w:rsidP="00720AA1">
      <w:pPr>
        <w:spacing w:after="0"/>
        <w:rPr>
          <w:i/>
        </w:rPr>
      </w:pPr>
      <w:r>
        <w:rPr>
          <w:noProof/>
          <w:lang w:eastAsia="en-GB"/>
        </w:rPr>
        <w:drawing>
          <wp:inline distT="0" distB="0" distL="0" distR="0" wp14:anchorId="3F9AD1EC" wp14:editId="317424F3">
            <wp:extent cx="3354994" cy="2236662"/>
            <wp:effectExtent l="0" t="0" r="0" b="0"/>
            <wp:docPr id="6" name="Picture 6" descr=" Elimination of fragmentation problems caused by national infra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Elimination of fragmentation problems caused by national infrastructur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61658" cy="2241105"/>
                    </a:xfrm>
                    <a:prstGeom prst="rect">
                      <a:avLst/>
                    </a:prstGeom>
                    <a:noFill/>
                    <a:ln>
                      <a:noFill/>
                    </a:ln>
                  </pic:spPr>
                </pic:pic>
              </a:graphicData>
            </a:graphic>
          </wp:inline>
        </w:drawing>
      </w:r>
    </w:p>
    <w:p w:rsidR="0039160F" w:rsidRDefault="008E11D8" w:rsidP="0039160F">
      <w:pPr>
        <w:spacing w:after="0"/>
        <w:rPr>
          <w:i/>
        </w:rPr>
      </w:pPr>
      <w:r w:rsidRPr="00F12155">
        <w:rPr>
          <w:i/>
        </w:rPr>
        <w:t>Figure 8</w:t>
      </w:r>
      <w:r w:rsidR="00F12155" w:rsidRPr="00F12155">
        <w:rPr>
          <w:i/>
        </w:rPr>
        <w:t xml:space="preserve"> Results of the multi-year defragmentation programme (CBS et al., 2014</w:t>
      </w:r>
      <w:r w:rsidR="00F12155">
        <w:rPr>
          <w:i/>
        </w:rPr>
        <w:t>f</w:t>
      </w:r>
      <w:r w:rsidR="00F12155" w:rsidRPr="00F12155">
        <w:rPr>
          <w:i/>
        </w:rPr>
        <w:t>).</w:t>
      </w:r>
    </w:p>
    <w:p w:rsidR="0039160F" w:rsidRDefault="0039160F">
      <w:pPr>
        <w:rPr>
          <w:i/>
        </w:rPr>
      </w:pPr>
      <w:r>
        <w:rPr>
          <w:i/>
        </w:rPr>
        <w:br w:type="page"/>
      </w:r>
    </w:p>
    <w:p w:rsidR="00720AA1" w:rsidRPr="00F12155" w:rsidRDefault="00720AA1" w:rsidP="00300268">
      <w:pPr>
        <w:rPr>
          <w:b/>
        </w:rPr>
      </w:pPr>
      <w:r w:rsidRPr="00F12155">
        <w:rPr>
          <w:b/>
        </w:rPr>
        <w:lastRenderedPageBreak/>
        <w:t>Sources</w:t>
      </w:r>
    </w:p>
    <w:p w:rsidR="0039160F" w:rsidRPr="0039160F" w:rsidRDefault="0039160F" w:rsidP="0039160F">
      <w:pPr>
        <w:rPr>
          <w:i/>
          <w:lang w:val="nl-NL"/>
        </w:rPr>
      </w:pPr>
    </w:p>
    <w:p w:rsidR="00F12155" w:rsidRPr="00F12155" w:rsidRDefault="00F12155" w:rsidP="0039160F">
      <w:pPr>
        <w:pStyle w:val="ListParagraph"/>
        <w:numPr>
          <w:ilvl w:val="0"/>
          <w:numId w:val="1"/>
        </w:numPr>
        <w:spacing w:after="0"/>
        <w:ind w:left="426"/>
        <w:rPr>
          <w:i/>
          <w:lang w:val="nl-NL"/>
        </w:rPr>
      </w:pPr>
      <w:r w:rsidRPr="00F12155">
        <w:t xml:space="preserve">CBS, PBL, Wageningen UR (2014a). </w:t>
      </w:r>
      <w:r w:rsidRPr="00F12155">
        <w:rPr>
          <w:lang w:val="nl-NL"/>
        </w:rPr>
        <w:t>Realisatie nieuwe EHS - agrarisch natuurbeheer, 1999 - 2012 (indicator 1317, versie 10, 9 juli 2014). www.compendiumvoordeleefomgeving.nl. CBS, Den Haag; Planbureau voor de Leefomgeving, Den Haag/</w:t>
      </w:r>
      <w:proofErr w:type="spellStart"/>
      <w:r w:rsidRPr="00F12155">
        <w:rPr>
          <w:lang w:val="nl-NL"/>
        </w:rPr>
        <w:t>Bilthoven</w:t>
      </w:r>
      <w:proofErr w:type="spellEnd"/>
      <w:r w:rsidRPr="00F12155">
        <w:rPr>
          <w:lang w:val="nl-NL"/>
        </w:rPr>
        <w:t xml:space="preserve"> en Wageningen UR, Wageningen.</w:t>
      </w:r>
    </w:p>
    <w:p w:rsidR="00F12155" w:rsidRPr="00F12155" w:rsidRDefault="00EB03B1" w:rsidP="0039160F">
      <w:pPr>
        <w:pStyle w:val="ListParagraph"/>
        <w:numPr>
          <w:ilvl w:val="0"/>
          <w:numId w:val="1"/>
        </w:numPr>
        <w:spacing w:after="0"/>
        <w:ind w:left="426"/>
        <w:rPr>
          <w:i/>
          <w:lang w:val="nl-NL"/>
        </w:rPr>
      </w:pPr>
      <w:r w:rsidRPr="00EB03B1">
        <w:rPr>
          <w:lang w:val="nl-NL"/>
        </w:rPr>
        <w:t>CBS, PBL, Wageningen UR (2014</w:t>
      </w:r>
      <w:r w:rsidR="00F12155">
        <w:rPr>
          <w:lang w:val="nl-NL"/>
        </w:rPr>
        <w:t>b</w:t>
      </w:r>
      <w:r w:rsidRPr="00EB03B1">
        <w:rPr>
          <w:lang w:val="nl-NL"/>
        </w:rPr>
        <w:t>). Vogels van het boerenland, 1990-2013 (indicator 1479, versie 06, 17 september 2014). www.compendiumvoordeleefomgeving.nl. CBS, Den Haag; Planbureau voor de Leefomgeving, Den Haag/</w:t>
      </w:r>
      <w:proofErr w:type="spellStart"/>
      <w:r w:rsidRPr="00EB03B1">
        <w:rPr>
          <w:lang w:val="nl-NL"/>
        </w:rPr>
        <w:t>Bilthoven</w:t>
      </w:r>
      <w:proofErr w:type="spellEnd"/>
      <w:r w:rsidRPr="00EB03B1">
        <w:rPr>
          <w:lang w:val="nl-NL"/>
        </w:rPr>
        <w:t xml:space="preserve"> en Wageningen UR, Wageningen.</w:t>
      </w:r>
      <w:r w:rsidRPr="00F12155">
        <w:rPr>
          <w:i/>
          <w:lang w:val="nl-NL"/>
        </w:rPr>
        <w:t xml:space="preserve"> </w:t>
      </w:r>
    </w:p>
    <w:p w:rsidR="00EB03B1" w:rsidRDefault="00EB03B1" w:rsidP="0039160F">
      <w:pPr>
        <w:pStyle w:val="ListParagraph"/>
        <w:numPr>
          <w:ilvl w:val="0"/>
          <w:numId w:val="1"/>
        </w:numPr>
        <w:spacing w:after="0"/>
        <w:ind w:left="426"/>
        <w:rPr>
          <w:i/>
          <w:lang w:val="nl-NL"/>
        </w:rPr>
      </w:pPr>
      <w:r w:rsidRPr="00EB03B1">
        <w:rPr>
          <w:i/>
          <w:lang w:val="nl-NL"/>
        </w:rPr>
        <w:t>CBS, PBL, Wageningen UR (2014</w:t>
      </w:r>
      <w:r w:rsidR="00F12155">
        <w:rPr>
          <w:i/>
          <w:lang w:val="nl-NL"/>
        </w:rPr>
        <w:t>c</w:t>
      </w:r>
      <w:r w:rsidRPr="00EB03B1">
        <w:rPr>
          <w:i/>
          <w:lang w:val="nl-NL"/>
        </w:rPr>
        <w:t>). Biologische kwaliteit oppervlaktewater, 2013 (indicator 1420, versie 02, 9 september 2014). www.compendiumvoordeleefomgeving.nl. CBS, Den Haag; Planbureau voor de Leefomgeving, Den Haag/</w:t>
      </w:r>
      <w:proofErr w:type="spellStart"/>
      <w:r w:rsidRPr="00EB03B1">
        <w:rPr>
          <w:i/>
          <w:lang w:val="nl-NL"/>
        </w:rPr>
        <w:t>Bilthoven</w:t>
      </w:r>
      <w:proofErr w:type="spellEnd"/>
      <w:r w:rsidRPr="00EB03B1">
        <w:rPr>
          <w:i/>
          <w:lang w:val="nl-NL"/>
        </w:rPr>
        <w:t xml:space="preserve"> en Wageningen UR, Wageningen</w:t>
      </w:r>
    </w:p>
    <w:p w:rsidR="00F12155" w:rsidRPr="00F12155" w:rsidRDefault="00EB03B1" w:rsidP="0039160F">
      <w:pPr>
        <w:pStyle w:val="ListParagraph"/>
        <w:numPr>
          <w:ilvl w:val="0"/>
          <w:numId w:val="1"/>
        </w:numPr>
        <w:spacing w:after="0"/>
        <w:ind w:left="426"/>
        <w:rPr>
          <w:i/>
          <w:lang w:val="nl-NL"/>
        </w:rPr>
      </w:pPr>
      <w:r w:rsidRPr="00EB03B1">
        <w:rPr>
          <w:i/>
          <w:lang w:val="nl-NL"/>
        </w:rPr>
        <w:t>CBS, PBL, Wageningen UR (2014</w:t>
      </w:r>
      <w:r w:rsidR="00F12155">
        <w:rPr>
          <w:i/>
          <w:lang w:val="nl-NL"/>
        </w:rPr>
        <w:t>d</w:t>
      </w:r>
      <w:r w:rsidRPr="00EB03B1">
        <w:rPr>
          <w:i/>
          <w:lang w:val="nl-NL"/>
        </w:rPr>
        <w:t>). Algemene fysisch-chemische kwaliteit oppervlaktewater KRW, 2013 (indicator 0252, versie 14, 27 november 2014). www.compendiumvoordeleefomgeving.nl. CBS, Den Haag; Planbureau voor de Leefomgeving, Den Haag/</w:t>
      </w:r>
      <w:proofErr w:type="spellStart"/>
      <w:r w:rsidRPr="00EB03B1">
        <w:rPr>
          <w:i/>
          <w:lang w:val="nl-NL"/>
        </w:rPr>
        <w:t>Bilthoven</w:t>
      </w:r>
      <w:proofErr w:type="spellEnd"/>
      <w:r w:rsidRPr="00EB03B1">
        <w:rPr>
          <w:i/>
          <w:lang w:val="nl-NL"/>
        </w:rPr>
        <w:t xml:space="preserve"> en Wageningen UR, Wageningen.</w:t>
      </w:r>
      <w:r w:rsidRPr="00EB03B1">
        <w:rPr>
          <w:lang w:val="nl-NL"/>
        </w:rPr>
        <w:t xml:space="preserve"> </w:t>
      </w:r>
    </w:p>
    <w:p w:rsidR="00EB03B1" w:rsidRDefault="00EB03B1" w:rsidP="0039160F">
      <w:pPr>
        <w:pStyle w:val="ListParagraph"/>
        <w:numPr>
          <w:ilvl w:val="0"/>
          <w:numId w:val="1"/>
        </w:numPr>
        <w:spacing w:after="0"/>
        <w:ind w:left="426"/>
        <w:rPr>
          <w:i/>
          <w:lang w:val="nl-NL"/>
        </w:rPr>
      </w:pPr>
      <w:r w:rsidRPr="00EB03B1">
        <w:rPr>
          <w:i/>
          <w:lang w:val="nl-NL"/>
        </w:rPr>
        <w:t>CBS, PBL, Wageningen UR (2014</w:t>
      </w:r>
      <w:r w:rsidR="00F12155">
        <w:rPr>
          <w:i/>
          <w:lang w:val="nl-NL"/>
        </w:rPr>
        <w:t>e</w:t>
      </w:r>
      <w:r w:rsidRPr="00EB03B1">
        <w:rPr>
          <w:i/>
          <w:lang w:val="nl-NL"/>
        </w:rPr>
        <w:t>). Migratiemogelijkheden voor trekvissen, 2012 (indicator 1350, versie 07, 4 juni 2014). www.compendiumvoordeleefomgeving.nl. CBS, Den Haag; Planbureau voor de Leefomgeving, Den Haag/</w:t>
      </w:r>
      <w:proofErr w:type="spellStart"/>
      <w:r w:rsidRPr="00EB03B1">
        <w:rPr>
          <w:i/>
          <w:lang w:val="nl-NL"/>
        </w:rPr>
        <w:t>Bilthoven</w:t>
      </w:r>
      <w:proofErr w:type="spellEnd"/>
      <w:r w:rsidRPr="00EB03B1">
        <w:rPr>
          <w:i/>
          <w:lang w:val="nl-NL"/>
        </w:rPr>
        <w:t xml:space="preserve"> en Wageningen UR, Wageningen.</w:t>
      </w:r>
    </w:p>
    <w:p w:rsidR="00F12155" w:rsidRPr="00F12155" w:rsidRDefault="00F12155" w:rsidP="0039160F">
      <w:pPr>
        <w:pStyle w:val="ListParagraph"/>
        <w:numPr>
          <w:ilvl w:val="0"/>
          <w:numId w:val="1"/>
        </w:numPr>
        <w:ind w:left="426"/>
        <w:rPr>
          <w:i/>
          <w:lang w:val="nl-NL"/>
        </w:rPr>
      </w:pPr>
      <w:r w:rsidRPr="00F12155">
        <w:rPr>
          <w:i/>
          <w:lang w:val="nl-NL"/>
        </w:rPr>
        <w:t>CBS, PBL, Wageningen UR (2014</w:t>
      </w:r>
      <w:r>
        <w:rPr>
          <w:i/>
          <w:lang w:val="nl-NL"/>
        </w:rPr>
        <w:t>f</w:t>
      </w:r>
      <w:r w:rsidRPr="00F12155">
        <w:rPr>
          <w:i/>
          <w:lang w:val="nl-NL"/>
        </w:rPr>
        <w:t>). Barrières en versnippering van de Ecologische Hoofdstructuur, 2005-2012 (indicator 2051, versie 08, 23 april 2014). www.compendiumvoordeleefomgeving.nl. CBS, Den Haag; Planbureau voor de Leefomgeving, Den Haag/</w:t>
      </w:r>
      <w:proofErr w:type="spellStart"/>
      <w:r w:rsidRPr="00F12155">
        <w:rPr>
          <w:i/>
          <w:lang w:val="nl-NL"/>
        </w:rPr>
        <w:t>Bilthoven</w:t>
      </w:r>
      <w:proofErr w:type="spellEnd"/>
      <w:r w:rsidRPr="00F12155">
        <w:rPr>
          <w:i/>
          <w:lang w:val="nl-NL"/>
        </w:rPr>
        <w:t xml:space="preserve"> en Wageningen UR, Wageningen.</w:t>
      </w:r>
    </w:p>
    <w:p w:rsidR="0039160F" w:rsidRPr="00EB03B1" w:rsidRDefault="0039160F" w:rsidP="0039160F">
      <w:pPr>
        <w:pStyle w:val="ListParagraph"/>
        <w:numPr>
          <w:ilvl w:val="0"/>
          <w:numId w:val="1"/>
        </w:numPr>
        <w:ind w:left="426"/>
        <w:rPr>
          <w:i/>
        </w:rPr>
      </w:pPr>
      <w:r w:rsidRPr="00EB03B1">
        <w:rPr>
          <w:i/>
        </w:rPr>
        <w:t xml:space="preserve">Council of Europe (1973) Resolution 73 (30) ON THE EUROPEAN TERMINOLOGY FOR PROTECTED AREAS of the Committee of Ministers of the Council of Europe of 26 October 1973. </w:t>
      </w:r>
    </w:p>
    <w:p w:rsidR="0039160F" w:rsidRDefault="0039160F" w:rsidP="0039160F">
      <w:pPr>
        <w:pStyle w:val="ListParagraph"/>
        <w:numPr>
          <w:ilvl w:val="0"/>
          <w:numId w:val="1"/>
        </w:numPr>
        <w:spacing w:after="0"/>
        <w:ind w:left="426"/>
        <w:rPr>
          <w:i/>
          <w:lang w:val="nl-NL"/>
        </w:rPr>
      </w:pPr>
      <w:r>
        <w:rPr>
          <w:i/>
          <w:lang w:val="nl-NL"/>
        </w:rPr>
        <w:t>EL&amp;I</w:t>
      </w:r>
      <w:r w:rsidRPr="00EB03B1">
        <w:rPr>
          <w:i/>
          <w:lang w:val="nl-NL"/>
        </w:rPr>
        <w:t xml:space="preserve"> </w:t>
      </w:r>
      <w:r>
        <w:rPr>
          <w:i/>
          <w:lang w:val="nl-NL"/>
        </w:rPr>
        <w:t>(</w:t>
      </w:r>
      <w:r w:rsidRPr="00EB03B1">
        <w:rPr>
          <w:i/>
          <w:lang w:val="nl-NL"/>
        </w:rPr>
        <w:t>2013</w:t>
      </w:r>
      <w:r>
        <w:rPr>
          <w:i/>
          <w:lang w:val="nl-NL"/>
        </w:rPr>
        <w:t>)</w:t>
      </w:r>
      <w:r w:rsidRPr="00EB03B1">
        <w:rPr>
          <w:i/>
          <w:lang w:val="nl-NL"/>
        </w:rPr>
        <w:t>. Kamerbrief, kenmerk DGNR-NB /</w:t>
      </w:r>
      <w:r>
        <w:rPr>
          <w:i/>
          <w:lang w:val="nl-NL"/>
        </w:rPr>
        <w:t xml:space="preserve"> </w:t>
      </w:r>
      <w:r w:rsidRPr="00EB03B1">
        <w:rPr>
          <w:i/>
          <w:lang w:val="nl-NL"/>
        </w:rPr>
        <w:t>13157005 Ministerie van Economische Zaken, Landbouw en</w:t>
      </w:r>
      <w:r>
        <w:rPr>
          <w:i/>
          <w:lang w:val="nl-NL"/>
        </w:rPr>
        <w:t xml:space="preserve"> </w:t>
      </w:r>
      <w:r w:rsidRPr="00EB03B1">
        <w:rPr>
          <w:i/>
          <w:lang w:val="nl-NL"/>
        </w:rPr>
        <w:t>Innovatie. Bijlage Natuurpact.</w:t>
      </w:r>
    </w:p>
    <w:p w:rsidR="0039160F" w:rsidRPr="00EB03B1" w:rsidRDefault="0039160F" w:rsidP="0039160F">
      <w:pPr>
        <w:pStyle w:val="ListParagraph"/>
        <w:numPr>
          <w:ilvl w:val="0"/>
          <w:numId w:val="1"/>
        </w:numPr>
        <w:spacing w:after="0"/>
        <w:ind w:left="426"/>
        <w:rPr>
          <w:i/>
          <w:lang w:val="nl-NL"/>
        </w:rPr>
      </w:pPr>
      <w:r w:rsidRPr="00EB03B1">
        <w:rPr>
          <w:i/>
          <w:lang w:val="nl-NL"/>
        </w:rPr>
        <w:t xml:space="preserve">Fryslân (2014). Verordening </w:t>
      </w:r>
      <w:proofErr w:type="spellStart"/>
      <w:r w:rsidRPr="00EB03B1">
        <w:rPr>
          <w:i/>
          <w:lang w:val="nl-NL"/>
        </w:rPr>
        <w:t>Romte</w:t>
      </w:r>
      <w:proofErr w:type="spellEnd"/>
      <w:r w:rsidRPr="00EB03B1">
        <w:rPr>
          <w:i/>
          <w:lang w:val="nl-NL"/>
        </w:rPr>
        <w:t xml:space="preserve">. Provincie Friesland. </w:t>
      </w:r>
    </w:p>
    <w:p w:rsidR="0039160F" w:rsidRPr="00EB03B1" w:rsidRDefault="0039160F" w:rsidP="0039160F">
      <w:pPr>
        <w:pStyle w:val="ListParagraph"/>
        <w:numPr>
          <w:ilvl w:val="0"/>
          <w:numId w:val="1"/>
        </w:numPr>
        <w:spacing w:after="0"/>
        <w:ind w:left="426"/>
        <w:rPr>
          <w:i/>
          <w:lang w:val="nl-NL"/>
        </w:rPr>
      </w:pPr>
      <w:r w:rsidRPr="00276F15">
        <w:rPr>
          <w:i/>
          <w:lang w:val="nl-NL"/>
        </w:rPr>
        <w:t>I&amp;M (2012). Structuurvisie Infrastructuur en Ruimte. Ministerie van Infrastructuur en Milieu. Den Haag.</w:t>
      </w:r>
      <w:r w:rsidRPr="00276F15">
        <w:rPr>
          <w:lang w:val="nl-NL"/>
        </w:rPr>
        <w:t xml:space="preserve"> (</w:t>
      </w:r>
      <w:proofErr w:type="spellStart"/>
      <w:r w:rsidRPr="00276F15">
        <w:rPr>
          <w:lang w:val="nl-NL"/>
        </w:rPr>
        <w:t>Structural</w:t>
      </w:r>
      <w:proofErr w:type="spellEnd"/>
      <w:r w:rsidRPr="00276F15">
        <w:rPr>
          <w:lang w:val="nl-NL"/>
        </w:rPr>
        <w:t xml:space="preserve"> </w:t>
      </w:r>
      <w:proofErr w:type="spellStart"/>
      <w:r w:rsidRPr="00276F15">
        <w:rPr>
          <w:lang w:val="nl-NL"/>
        </w:rPr>
        <w:t>Vision</w:t>
      </w:r>
      <w:proofErr w:type="spellEnd"/>
      <w:r w:rsidRPr="00276F15">
        <w:rPr>
          <w:lang w:val="nl-NL"/>
        </w:rPr>
        <w:t xml:space="preserve"> on </w:t>
      </w:r>
      <w:proofErr w:type="spellStart"/>
      <w:r w:rsidRPr="00276F15">
        <w:rPr>
          <w:lang w:val="nl-NL"/>
        </w:rPr>
        <w:t>Infrastructure</w:t>
      </w:r>
      <w:proofErr w:type="spellEnd"/>
      <w:r w:rsidRPr="00276F15">
        <w:rPr>
          <w:lang w:val="nl-NL"/>
        </w:rPr>
        <w:t xml:space="preserve"> </w:t>
      </w:r>
      <w:proofErr w:type="spellStart"/>
      <w:r w:rsidRPr="00276F15">
        <w:rPr>
          <w:lang w:val="nl-NL"/>
        </w:rPr>
        <w:t>and</w:t>
      </w:r>
      <w:proofErr w:type="spellEnd"/>
      <w:r w:rsidRPr="00276F15">
        <w:rPr>
          <w:lang w:val="nl-NL"/>
        </w:rPr>
        <w:t xml:space="preserve"> </w:t>
      </w:r>
      <w:proofErr w:type="spellStart"/>
      <w:r w:rsidRPr="00276F15">
        <w:rPr>
          <w:lang w:val="nl-NL"/>
        </w:rPr>
        <w:t>Spatial</w:t>
      </w:r>
      <w:proofErr w:type="spellEnd"/>
      <w:r w:rsidRPr="00276F15">
        <w:rPr>
          <w:lang w:val="nl-NL"/>
        </w:rPr>
        <w:t xml:space="preserve"> Planning).</w:t>
      </w:r>
    </w:p>
    <w:p w:rsidR="0039160F" w:rsidRDefault="0039160F" w:rsidP="0039160F">
      <w:pPr>
        <w:pStyle w:val="ListParagraph"/>
        <w:numPr>
          <w:ilvl w:val="0"/>
          <w:numId w:val="1"/>
        </w:numPr>
        <w:ind w:left="426"/>
        <w:rPr>
          <w:i/>
          <w:lang w:val="nl-NL"/>
        </w:rPr>
      </w:pPr>
      <w:r w:rsidRPr="00EB03B1">
        <w:rPr>
          <w:i/>
          <w:lang w:val="nl-NL"/>
        </w:rPr>
        <w:t xml:space="preserve">Veen, M.P. van, M.E. Sanders, M.E.A. Broekmeyer (2011). </w:t>
      </w:r>
      <w:proofErr w:type="spellStart"/>
      <w:r w:rsidRPr="00EB03B1">
        <w:rPr>
          <w:i/>
        </w:rPr>
        <w:t>Ecologische</w:t>
      </w:r>
      <w:proofErr w:type="spellEnd"/>
      <w:r w:rsidRPr="00EB03B1">
        <w:rPr>
          <w:i/>
        </w:rPr>
        <w:t xml:space="preserve"> </w:t>
      </w:r>
      <w:proofErr w:type="spellStart"/>
      <w:r w:rsidRPr="00EB03B1">
        <w:rPr>
          <w:i/>
        </w:rPr>
        <w:t>effectiviteit</w:t>
      </w:r>
      <w:proofErr w:type="spellEnd"/>
      <w:r w:rsidRPr="00EB03B1">
        <w:rPr>
          <w:i/>
        </w:rPr>
        <w:t xml:space="preserve"> van </w:t>
      </w:r>
      <w:proofErr w:type="spellStart"/>
      <w:r w:rsidRPr="00EB03B1">
        <w:rPr>
          <w:i/>
        </w:rPr>
        <w:t>natuurwetgeving</w:t>
      </w:r>
      <w:proofErr w:type="spellEnd"/>
      <w:r w:rsidRPr="00EB03B1">
        <w:rPr>
          <w:i/>
        </w:rPr>
        <w:t xml:space="preserve"> (Dutch National legislation that gives effect to the Habitats Directive). </w:t>
      </w:r>
      <w:r w:rsidRPr="00EB03B1">
        <w:rPr>
          <w:i/>
          <w:lang w:val="nl-NL"/>
        </w:rPr>
        <w:t xml:space="preserve">PBL-publicatienummer: 5555084002. The Netherlands </w:t>
      </w:r>
      <w:proofErr w:type="spellStart"/>
      <w:r w:rsidRPr="00EB03B1">
        <w:rPr>
          <w:i/>
          <w:lang w:val="nl-NL"/>
        </w:rPr>
        <w:t>Environmental</w:t>
      </w:r>
      <w:proofErr w:type="spellEnd"/>
      <w:r w:rsidRPr="00EB03B1">
        <w:rPr>
          <w:i/>
          <w:lang w:val="nl-NL"/>
        </w:rPr>
        <w:t xml:space="preserve"> Assessment Agency, </w:t>
      </w:r>
      <w:proofErr w:type="spellStart"/>
      <w:r w:rsidRPr="00EB03B1">
        <w:rPr>
          <w:i/>
          <w:lang w:val="nl-NL"/>
        </w:rPr>
        <w:t>Bilthoven</w:t>
      </w:r>
      <w:proofErr w:type="spellEnd"/>
    </w:p>
    <w:p w:rsidR="00EB03B1" w:rsidRPr="00EB03B1" w:rsidRDefault="00EB03B1" w:rsidP="0039160F">
      <w:pPr>
        <w:pStyle w:val="ListParagraph"/>
        <w:spacing w:after="0"/>
        <w:rPr>
          <w:i/>
          <w:lang w:val="nl-NL"/>
        </w:rPr>
      </w:pPr>
    </w:p>
    <w:sectPr w:rsidR="00EB03B1" w:rsidRPr="00EB03B1">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E6D" w:rsidRDefault="00702E6D" w:rsidP="00DE2E72">
      <w:pPr>
        <w:spacing w:after="0" w:line="240" w:lineRule="auto"/>
      </w:pPr>
      <w:r>
        <w:separator/>
      </w:r>
    </w:p>
  </w:endnote>
  <w:endnote w:type="continuationSeparator" w:id="0">
    <w:p w:rsidR="00702E6D" w:rsidRDefault="00702E6D" w:rsidP="00DE2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8200991"/>
      <w:docPartObj>
        <w:docPartGallery w:val="Page Numbers (Bottom of Page)"/>
        <w:docPartUnique/>
      </w:docPartObj>
    </w:sdtPr>
    <w:sdtEndPr>
      <w:rPr>
        <w:noProof/>
      </w:rPr>
    </w:sdtEndPr>
    <w:sdtContent>
      <w:p w:rsidR="00DE2E72" w:rsidRDefault="00DE2E72">
        <w:pPr>
          <w:pStyle w:val="Footer"/>
        </w:pPr>
        <w:r>
          <w:fldChar w:fldCharType="begin"/>
        </w:r>
        <w:r>
          <w:instrText xml:space="preserve"> PAGE   \* MERGEFORMAT </w:instrText>
        </w:r>
        <w:r>
          <w:fldChar w:fldCharType="separate"/>
        </w:r>
        <w:r w:rsidR="00073B28">
          <w:rPr>
            <w:noProof/>
          </w:rPr>
          <w:t>1</w:t>
        </w:r>
        <w:r>
          <w:rPr>
            <w:noProof/>
          </w:rPr>
          <w:fldChar w:fldCharType="end"/>
        </w:r>
      </w:p>
    </w:sdtContent>
  </w:sdt>
  <w:p w:rsidR="00DE2E72" w:rsidRDefault="00DE2E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E6D" w:rsidRDefault="00702E6D" w:rsidP="00DE2E72">
      <w:pPr>
        <w:spacing w:after="0" w:line="240" w:lineRule="auto"/>
      </w:pPr>
      <w:r>
        <w:separator/>
      </w:r>
    </w:p>
  </w:footnote>
  <w:footnote w:type="continuationSeparator" w:id="0">
    <w:p w:rsidR="00702E6D" w:rsidRDefault="00702E6D" w:rsidP="00DE2E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B4222"/>
    <w:multiLevelType w:val="hybridMultilevel"/>
    <w:tmpl w:val="1458E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124"/>
    <w:rsid w:val="00073B28"/>
    <w:rsid w:val="000C210F"/>
    <w:rsid w:val="001171BB"/>
    <w:rsid w:val="00144537"/>
    <w:rsid w:val="00156618"/>
    <w:rsid w:val="00197106"/>
    <w:rsid w:val="001E6B7B"/>
    <w:rsid w:val="001F5FAB"/>
    <w:rsid w:val="00231960"/>
    <w:rsid w:val="00252520"/>
    <w:rsid w:val="00276F15"/>
    <w:rsid w:val="002B0083"/>
    <w:rsid w:val="002C3F14"/>
    <w:rsid w:val="00300268"/>
    <w:rsid w:val="00306DEC"/>
    <w:rsid w:val="00322E88"/>
    <w:rsid w:val="00345B0E"/>
    <w:rsid w:val="00353F13"/>
    <w:rsid w:val="0037126C"/>
    <w:rsid w:val="0039160F"/>
    <w:rsid w:val="003945F4"/>
    <w:rsid w:val="00414EA3"/>
    <w:rsid w:val="00432611"/>
    <w:rsid w:val="004355B0"/>
    <w:rsid w:val="004422B0"/>
    <w:rsid w:val="004630CA"/>
    <w:rsid w:val="00472D69"/>
    <w:rsid w:val="00490732"/>
    <w:rsid w:val="004A17EC"/>
    <w:rsid w:val="004A6A2C"/>
    <w:rsid w:val="004C5EF6"/>
    <w:rsid w:val="004C6737"/>
    <w:rsid w:val="005130ED"/>
    <w:rsid w:val="00514059"/>
    <w:rsid w:val="00557F55"/>
    <w:rsid w:val="0059515F"/>
    <w:rsid w:val="005A2681"/>
    <w:rsid w:val="005B1124"/>
    <w:rsid w:val="005F6C7E"/>
    <w:rsid w:val="00651632"/>
    <w:rsid w:val="006644C2"/>
    <w:rsid w:val="006A4DEA"/>
    <w:rsid w:val="006E4779"/>
    <w:rsid w:val="006F6188"/>
    <w:rsid w:val="00702E6D"/>
    <w:rsid w:val="00720AA1"/>
    <w:rsid w:val="0076147E"/>
    <w:rsid w:val="007A5F79"/>
    <w:rsid w:val="007E2162"/>
    <w:rsid w:val="00872B12"/>
    <w:rsid w:val="00886962"/>
    <w:rsid w:val="008B45CE"/>
    <w:rsid w:val="008C1BA1"/>
    <w:rsid w:val="008E11D8"/>
    <w:rsid w:val="008F0211"/>
    <w:rsid w:val="008F0A1F"/>
    <w:rsid w:val="008F73FA"/>
    <w:rsid w:val="00913D69"/>
    <w:rsid w:val="00923F37"/>
    <w:rsid w:val="00927BE3"/>
    <w:rsid w:val="00940AB3"/>
    <w:rsid w:val="00965684"/>
    <w:rsid w:val="009E4A91"/>
    <w:rsid w:val="00A1230C"/>
    <w:rsid w:val="00A26054"/>
    <w:rsid w:val="00AC40D1"/>
    <w:rsid w:val="00B04E89"/>
    <w:rsid w:val="00B26637"/>
    <w:rsid w:val="00B35B7E"/>
    <w:rsid w:val="00B407EE"/>
    <w:rsid w:val="00B45762"/>
    <w:rsid w:val="00B57C69"/>
    <w:rsid w:val="00B739D9"/>
    <w:rsid w:val="00B91631"/>
    <w:rsid w:val="00BF1F8B"/>
    <w:rsid w:val="00C01615"/>
    <w:rsid w:val="00C21A1E"/>
    <w:rsid w:val="00C33FB9"/>
    <w:rsid w:val="00C36DC8"/>
    <w:rsid w:val="00C72157"/>
    <w:rsid w:val="00C80EE6"/>
    <w:rsid w:val="00C93A01"/>
    <w:rsid w:val="00D00557"/>
    <w:rsid w:val="00D32CD8"/>
    <w:rsid w:val="00D34FC5"/>
    <w:rsid w:val="00D37D31"/>
    <w:rsid w:val="00D84FE0"/>
    <w:rsid w:val="00DD1EED"/>
    <w:rsid w:val="00DE2E72"/>
    <w:rsid w:val="00E144E7"/>
    <w:rsid w:val="00E46EE2"/>
    <w:rsid w:val="00E76466"/>
    <w:rsid w:val="00EB03B1"/>
    <w:rsid w:val="00EC3687"/>
    <w:rsid w:val="00EE5648"/>
    <w:rsid w:val="00EF5810"/>
    <w:rsid w:val="00F121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1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B1124"/>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C40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40D1"/>
    <w:rPr>
      <w:rFonts w:ascii="Tahoma" w:hAnsi="Tahoma" w:cs="Tahoma"/>
      <w:sz w:val="16"/>
      <w:szCs w:val="16"/>
    </w:rPr>
  </w:style>
  <w:style w:type="paragraph" w:styleId="ListParagraph">
    <w:name w:val="List Paragraph"/>
    <w:basedOn w:val="Normal"/>
    <w:uiPriority w:val="34"/>
    <w:qFormat/>
    <w:rsid w:val="00EF5810"/>
    <w:pPr>
      <w:ind w:left="720"/>
      <w:contextualSpacing/>
    </w:pPr>
  </w:style>
  <w:style w:type="character" w:styleId="Hyperlink">
    <w:name w:val="Hyperlink"/>
    <w:basedOn w:val="DefaultParagraphFont"/>
    <w:uiPriority w:val="99"/>
    <w:unhideWhenUsed/>
    <w:rsid w:val="00720AA1"/>
    <w:rPr>
      <w:color w:val="0000FF" w:themeColor="hyperlink"/>
      <w:u w:val="single"/>
    </w:rPr>
  </w:style>
  <w:style w:type="character" w:styleId="CommentReference">
    <w:name w:val="annotation reference"/>
    <w:basedOn w:val="DefaultParagraphFont"/>
    <w:uiPriority w:val="99"/>
    <w:semiHidden/>
    <w:unhideWhenUsed/>
    <w:rsid w:val="00965684"/>
    <w:rPr>
      <w:sz w:val="16"/>
      <w:szCs w:val="16"/>
    </w:rPr>
  </w:style>
  <w:style w:type="paragraph" w:styleId="CommentText">
    <w:name w:val="annotation text"/>
    <w:basedOn w:val="Normal"/>
    <w:link w:val="CommentTextChar"/>
    <w:uiPriority w:val="99"/>
    <w:semiHidden/>
    <w:unhideWhenUsed/>
    <w:rsid w:val="00965684"/>
    <w:pPr>
      <w:spacing w:line="240" w:lineRule="auto"/>
    </w:pPr>
    <w:rPr>
      <w:sz w:val="20"/>
      <w:szCs w:val="20"/>
    </w:rPr>
  </w:style>
  <w:style w:type="character" w:customStyle="1" w:styleId="CommentTextChar">
    <w:name w:val="Comment Text Char"/>
    <w:basedOn w:val="DefaultParagraphFont"/>
    <w:link w:val="CommentText"/>
    <w:uiPriority w:val="99"/>
    <w:semiHidden/>
    <w:rsid w:val="00965684"/>
    <w:rPr>
      <w:sz w:val="20"/>
      <w:szCs w:val="20"/>
    </w:rPr>
  </w:style>
  <w:style w:type="paragraph" w:styleId="CommentSubject">
    <w:name w:val="annotation subject"/>
    <w:basedOn w:val="CommentText"/>
    <w:next w:val="CommentText"/>
    <w:link w:val="CommentSubjectChar"/>
    <w:uiPriority w:val="99"/>
    <w:semiHidden/>
    <w:unhideWhenUsed/>
    <w:rsid w:val="00965684"/>
    <w:rPr>
      <w:b/>
      <w:bCs/>
    </w:rPr>
  </w:style>
  <w:style w:type="character" w:customStyle="1" w:styleId="CommentSubjectChar">
    <w:name w:val="Comment Subject Char"/>
    <w:basedOn w:val="CommentTextChar"/>
    <w:link w:val="CommentSubject"/>
    <w:uiPriority w:val="99"/>
    <w:semiHidden/>
    <w:rsid w:val="00965684"/>
    <w:rPr>
      <w:b/>
      <w:bCs/>
      <w:sz w:val="20"/>
      <w:szCs w:val="20"/>
    </w:rPr>
  </w:style>
  <w:style w:type="paragraph" w:styleId="Header">
    <w:name w:val="header"/>
    <w:basedOn w:val="Normal"/>
    <w:link w:val="HeaderChar"/>
    <w:uiPriority w:val="99"/>
    <w:unhideWhenUsed/>
    <w:rsid w:val="00DE2E72"/>
    <w:pPr>
      <w:tabs>
        <w:tab w:val="center" w:pos="4536"/>
        <w:tab w:val="right" w:pos="9072"/>
      </w:tabs>
      <w:spacing w:after="0" w:line="240" w:lineRule="auto"/>
    </w:pPr>
  </w:style>
  <w:style w:type="character" w:customStyle="1" w:styleId="HeaderChar">
    <w:name w:val="Header Char"/>
    <w:basedOn w:val="DefaultParagraphFont"/>
    <w:link w:val="Header"/>
    <w:uiPriority w:val="99"/>
    <w:rsid w:val="00DE2E72"/>
  </w:style>
  <w:style w:type="paragraph" w:styleId="Footer">
    <w:name w:val="footer"/>
    <w:basedOn w:val="Normal"/>
    <w:link w:val="FooterChar"/>
    <w:uiPriority w:val="99"/>
    <w:unhideWhenUsed/>
    <w:rsid w:val="00DE2E72"/>
    <w:pPr>
      <w:tabs>
        <w:tab w:val="center" w:pos="4536"/>
        <w:tab w:val="right" w:pos="9072"/>
      </w:tabs>
      <w:spacing w:after="0" w:line="240" w:lineRule="auto"/>
    </w:pPr>
  </w:style>
  <w:style w:type="character" w:customStyle="1" w:styleId="FooterChar">
    <w:name w:val="Footer Char"/>
    <w:basedOn w:val="DefaultParagraphFont"/>
    <w:link w:val="Footer"/>
    <w:uiPriority w:val="99"/>
    <w:rsid w:val="00DE2E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1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B1124"/>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C40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40D1"/>
    <w:rPr>
      <w:rFonts w:ascii="Tahoma" w:hAnsi="Tahoma" w:cs="Tahoma"/>
      <w:sz w:val="16"/>
      <w:szCs w:val="16"/>
    </w:rPr>
  </w:style>
  <w:style w:type="paragraph" w:styleId="ListParagraph">
    <w:name w:val="List Paragraph"/>
    <w:basedOn w:val="Normal"/>
    <w:uiPriority w:val="34"/>
    <w:qFormat/>
    <w:rsid w:val="00EF5810"/>
    <w:pPr>
      <w:ind w:left="720"/>
      <w:contextualSpacing/>
    </w:pPr>
  </w:style>
  <w:style w:type="character" w:styleId="Hyperlink">
    <w:name w:val="Hyperlink"/>
    <w:basedOn w:val="DefaultParagraphFont"/>
    <w:uiPriority w:val="99"/>
    <w:unhideWhenUsed/>
    <w:rsid w:val="00720AA1"/>
    <w:rPr>
      <w:color w:val="0000FF" w:themeColor="hyperlink"/>
      <w:u w:val="single"/>
    </w:rPr>
  </w:style>
  <w:style w:type="character" w:styleId="CommentReference">
    <w:name w:val="annotation reference"/>
    <w:basedOn w:val="DefaultParagraphFont"/>
    <w:uiPriority w:val="99"/>
    <w:semiHidden/>
    <w:unhideWhenUsed/>
    <w:rsid w:val="00965684"/>
    <w:rPr>
      <w:sz w:val="16"/>
      <w:szCs w:val="16"/>
    </w:rPr>
  </w:style>
  <w:style w:type="paragraph" w:styleId="CommentText">
    <w:name w:val="annotation text"/>
    <w:basedOn w:val="Normal"/>
    <w:link w:val="CommentTextChar"/>
    <w:uiPriority w:val="99"/>
    <w:semiHidden/>
    <w:unhideWhenUsed/>
    <w:rsid w:val="00965684"/>
    <w:pPr>
      <w:spacing w:line="240" w:lineRule="auto"/>
    </w:pPr>
    <w:rPr>
      <w:sz w:val="20"/>
      <w:szCs w:val="20"/>
    </w:rPr>
  </w:style>
  <w:style w:type="character" w:customStyle="1" w:styleId="CommentTextChar">
    <w:name w:val="Comment Text Char"/>
    <w:basedOn w:val="DefaultParagraphFont"/>
    <w:link w:val="CommentText"/>
    <w:uiPriority w:val="99"/>
    <w:semiHidden/>
    <w:rsid w:val="00965684"/>
    <w:rPr>
      <w:sz w:val="20"/>
      <w:szCs w:val="20"/>
    </w:rPr>
  </w:style>
  <w:style w:type="paragraph" w:styleId="CommentSubject">
    <w:name w:val="annotation subject"/>
    <w:basedOn w:val="CommentText"/>
    <w:next w:val="CommentText"/>
    <w:link w:val="CommentSubjectChar"/>
    <w:uiPriority w:val="99"/>
    <w:semiHidden/>
    <w:unhideWhenUsed/>
    <w:rsid w:val="00965684"/>
    <w:rPr>
      <w:b/>
      <w:bCs/>
    </w:rPr>
  </w:style>
  <w:style w:type="character" w:customStyle="1" w:styleId="CommentSubjectChar">
    <w:name w:val="Comment Subject Char"/>
    <w:basedOn w:val="CommentTextChar"/>
    <w:link w:val="CommentSubject"/>
    <w:uiPriority w:val="99"/>
    <w:semiHidden/>
    <w:rsid w:val="00965684"/>
    <w:rPr>
      <w:b/>
      <w:bCs/>
      <w:sz w:val="20"/>
      <w:szCs w:val="20"/>
    </w:rPr>
  </w:style>
  <w:style w:type="paragraph" w:styleId="Header">
    <w:name w:val="header"/>
    <w:basedOn w:val="Normal"/>
    <w:link w:val="HeaderChar"/>
    <w:uiPriority w:val="99"/>
    <w:unhideWhenUsed/>
    <w:rsid w:val="00DE2E72"/>
    <w:pPr>
      <w:tabs>
        <w:tab w:val="center" w:pos="4536"/>
        <w:tab w:val="right" w:pos="9072"/>
      </w:tabs>
      <w:spacing w:after="0" w:line="240" w:lineRule="auto"/>
    </w:pPr>
  </w:style>
  <w:style w:type="character" w:customStyle="1" w:styleId="HeaderChar">
    <w:name w:val="Header Char"/>
    <w:basedOn w:val="DefaultParagraphFont"/>
    <w:link w:val="Header"/>
    <w:uiPriority w:val="99"/>
    <w:rsid w:val="00DE2E72"/>
  </w:style>
  <w:style w:type="paragraph" w:styleId="Footer">
    <w:name w:val="footer"/>
    <w:basedOn w:val="Normal"/>
    <w:link w:val="FooterChar"/>
    <w:uiPriority w:val="99"/>
    <w:unhideWhenUsed/>
    <w:rsid w:val="00DE2E72"/>
    <w:pPr>
      <w:tabs>
        <w:tab w:val="center" w:pos="4536"/>
        <w:tab w:val="right" w:pos="9072"/>
      </w:tabs>
      <w:spacing w:after="0" w:line="240" w:lineRule="auto"/>
    </w:pPr>
  </w:style>
  <w:style w:type="character" w:customStyle="1" w:styleId="FooterChar">
    <w:name w:val="Footer Char"/>
    <w:basedOn w:val="DefaultParagraphFont"/>
    <w:link w:val="Footer"/>
    <w:uiPriority w:val="99"/>
    <w:rsid w:val="00DE2E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155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1821</Words>
  <Characters>10381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Wageningen UR</Company>
  <LinksUpToDate>false</LinksUpToDate>
  <CharactersWithSpaces>12178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Sanders, Marlies</dc:creator>
  <cp:lastModifiedBy>Sanders, Marlies</cp:lastModifiedBy>
  <cp:revision>2</cp:revision>
  <dcterms:created xsi:type="dcterms:W3CDTF">2015-04-29T09:30:00Z</dcterms:created>
  <dcterms:modified xsi:type="dcterms:W3CDTF">2015-04-29T09:30:00Z</dcterms:modified>
</cp:coreProperties>
</file>